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 xml:space="preserve">В соответствии с Земельным кодексом Российской Федерации, законами Ханты-Мансийского автономного округа – Югры от 06 июля 2005 года №57-оз «О регулировании отдельных жилищных отношений в Ханты-Мансийском автономном округе – Югре», от 03 мая 2000 года №26-оз «О регулировании отдельных земельных отношений в Ханты-Мансийском автономном округе – Югре», отдельные категории граждан могут однократно бесплатно получить в собственность земельный участок для индивидуального жилищного </w:t>
      </w:r>
      <w:bookmarkStart w:id="0" w:name="_GoBack"/>
      <w:bookmarkEnd w:id="0"/>
      <w:r w:rsidRPr="00AD5AF0">
        <w:rPr>
          <w:rFonts w:ascii="Times New Roman" w:hAnsi="Times New Roman" w:cs="Times New Roman"/>
          <w:sz w:val="24"/>
          <w:szCs w:val="24"/>
        </w:rPr>
        <w:t>строительства.</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В соответствии со статьей 7.4 Закона №57-оз, такое право имеют граждане Российской Федерации, прожившие на территории автономного округа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и относящиеся к категориям:</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1) граждане, состоящие на учете в качестве нуждающихся в жилых помещениях, предоставляемых по договорам социального найма;</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2) инвалиды, семьи, имеющие детей-инвалидов;</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3) граждане, имеющие трех и более детей;</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4) лица, усыновившие (удочерившие) одного и более детей-сирот и детей, оставшихся без попечения родителей;</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 ветеранах»;</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6) лица, на которых распространяются меры социальной поддержки, установленные Федеральными законами «</w:t>
      </w:r>
      <w:hyperlink r:id="rId4" w:history="1">
        <w:r w:rsidRPr="00AD5AF0">
          <w:rPr>
            <w:rStyle w:val="a4"/>
            <w:rFonts w:ascii="Times New Roman" w:hAnsi="Times New Roman" w:cs="Times New Roman"/>
            <w:sz w:val="24"/>
            <w:szCs w:val="24"/>
          </w:rPr>
          <w:t>О социальных гарантиях</w:t>
        </w:r>
      </w:hyperlink>
      <w:r w:rsidRPr="00AD5AF0">
        <w:rPr>
          <w:rFonts w:ascii="Times New Roman" w:hAnsi="Times New Roman" w:cs="Times New Roman"/>
          <w:sz w:val="24"/>
          <w:szCs w:val="24"/>
        </w:rPr>
        <w:t> гражданам, подвергшимся радиационному воздействию вследствие ядерных испытаний на Семипалатинском полигоне», «</w:t>
      </w:r>
      <w:hyperlink r:id="rId5" w:history="1">
        <w:r w:rsidRPr="00AD5AF0">
          <w:rPr>
            <w:rStyle w:val="a4"/>
            <w:rFonts w:ascii="Times New Roman" w:hAnsi="Times New Roman" w:cs="Times New Roman"/>
            <w:sz w:val="24"/>
            <w:szCs w:val="24"/>
          </w:rPr>
          <w:t>О социальной защите</w:t>
        </w:r>
      </w:hyperlink>
      <w:r w:rsidRPr="00AD5AF0">
        <w:rPr>
          <w:rFonts w:ascii="Times New Roman" w:hAnsi="Times New Roman" w:cs="Times New Roman"/>
          <w:sz w:val="24"/>
          <w:szCs w:val="24"/>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D5AF0">
        <w:rPr>
          <w:rFonts w:ascii="Times New Roman" w:hAnsi="Times New Roman" w:cs="Times New Roman"/>
          <w:sz w:val="24"/>
          <w:szCs w:val="24"/>
        </w:rPr>
        <w:t>Теча</w:t>
      </w:r>
      <w:proofErr w:type="spellEnd"/>
      <w:r w:rsidRPr="00AD5AF0">
        <w:rPr>
          <w:rFonts w:ascii="Times New Roman" w:hAnsi="Times New Roman" w:cs="Times New Roman"/>
          <w:sz w:val="24"/>
          <w:szCs w:val="24"/>
        </w:rPr>
        <w:t>», «</w:t>
      </w:r>
      <w:hyperlink r:id="rId6" w:history="1">
        <w:r w:rsidRPr="00AD5AF0">
          <w:rPr>
            <w:rStyle w:val="a4"/>
            <w:rFonts w:ascii="Times New Roman" w:hAnsi="Times New Roman" w:cs="Times New Roman"/>
            <w:sz w:val="24"/>
            <w:szCs w:val="24"/>
          </w:rPr>
          <w:t>О социальной защите</w:t>
        </w:r>
      </w:hyperlink>
      <w:r w:rsidRPr="00AD5AF0">
        <w:rPr>
          <w:rFonts w:ascii="Times New Roman" w:hAnsi="Times New Roman" w:cs="Times New Roman"/>
          <w:sz w:val="24"/>
          <w:szCs w:val="24"/>
        </w:rPr>
        <w:t> граждан, подвергшихся воздействию радиации вследствие катастрофы на Чернобыльской АЭС»;</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8) лица, имеющие звание «Почетный гражданин Ханты-Мансийского автономного округа – Югры»;</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lastRenderedPageBreak/>
        <w:t>10) молодые семьи, имеющие детей;</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hyperlink r:id="rId7" w:history="1">
        <w:r w:rsidRPr="00AD5AF0">
          <w:rPr>
            <w:rStyle w:val="a4"/>
            <w:rFonts w:ascii="Times New Roman" w:hAnsi="Times New Roman" w:cs="Times New Roman"/>
            <w:sz w:val="24"/>
            <w:szCs w:val="24"/>
          </w:rPr>
          <w:t>Законом</w:t>
        </w:r>
      </w:hyperlink>
      <w:r w:rsidRPr="00AD5AF0">
        <w:rPr>
          <w:rFonts w:ascii="Times New Roman" w:hAnsi="Times New Roman" w:cs="Times New Roman"/>
          <w:sz w:val="24"/>
          <w:szCs w:val="24"/>
        </w:rPr>
        <w:t>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Указанные категории граждан имеют право однократно бесплатно приобрести земельные участки, если они:</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3) проживают в помещении, не отвечающем требованиям, установленным для жилых помещений;</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Для получения земельного участка в собственность бесплатно для индивидуального жилищного строительства, граждане, относящиеся к льготным категориям, подают соответствующее заявление в орган местного самоуправления, уполномоченный на предоставление земельных участков, о принятии на учет в целях однократного бесплатного получения земельного участка, с указанием оснований принятия на учет, в соответствии с порядком, установленным статьей 6.2 Закона 26-оз.</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 xml:space="preserve">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городском или сельском поселении муниципального района по месту жительства или ином </w:t>
      </w:r>
      <w:proofErr w:type="gramStart"/>
      <w:r w:rsidRPr="00AD5AF0">
        <w:rPr>
          <w:rFonts w:ascii="Times New Roman" w:hAnsi="Times New Roman" w:cs="Times New Roman"/>
          <w:sz w:val="24"/>
          <w:szCs w:val="24"/>
        </w:rPr>
        <w:t>городском</w:t>
      </w:r>
      <w:proofErr w:type="gramEnd"/>
      <w:r w:rsidRPr="00AD5AF0">
        <w:rPr>
          <w:rFonts w:ascii="Times New Roman" w:hAnsi="Times New Roman" w:cs="Times New Roman"/>
          <w:sz w:val="24"/>
          <w:szCs w:val="24"/>
        </w:rPr>
        <w:t xml:space="preserve"> или сельском поселении, входящем в состав этого муниципального района.</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 xml:space="preserve">Гражданам, желающим однократно бесплатно приобрести земельные участки в городском или сельском поселении муниципального района автономного округа, не являющегося местом их жительства, земельные участки предоставляются после обеспечения земельными </w:t>
      </w:r>
      <w:r w:rsidRPr="00AD5AF0">
        <w:rPr>
          <w:rFonts w:ascii="Times New Roman" w:hAnsi="Times New Roman" w:cs="Times New Roman"/>
          <w:sz w:val="24"/>
          <w:szCs w:val="24"/>
        </w:rPr>
        <w:lastRenderedPageBreak/>
        <w:t>участками всех граждан, принятых на учет в городском или сельском поселении муниципального района по месту жительства.</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Очередность предоставления гражданам земельных участков для индивидуального жилищного строительства, определяется исходя из времени принятия на учет указанных граждан.</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В целях бесплатного предоставления гражданам земельных участков, органы местного самоуправления осуществляют образование земельных участков и постановку их на государственный кадастровый учет.</w:t>
      </w:r>
    </w:p>
    <w:p w:rsidR="00AD5AF0" w:rsidRPr="00AD5AF0" w:rsidRDefault="00AD5AF0" w:rsidP="00AD5AF0">
      <w:pPr>
        <w:jc w:val="both"/>
        <w:rPr>
          <w:rFonts w:ascii="Times New Roman" w:hAnsi="Times New Roman" w:cs="Times New Roman"/>
          <w:sz w:val="24"/>
          <w:szCs w:val="24"/>
        </w:rPr>
      </w:pPr>
      <w:r w:rsidRPr="00AD5AF0">
        <w:rPr>
          <w:rFonts w:ascii="Times New Roman" w:hAnsi="Times New Roman" w:cs="Times New Roman"/>
          <w:sz w:val="24"/>
          <w:szCs w:val="24"/>
        </w:rPr>
        <w:t xml:space="preserve">Получить более подробную информацию, а также консультацию по вопросам предоставления земельных участков, можно в управление по природным ресурсам и экологии администрации </w:t>
      </w:r>
      <w:proofErr w:type="spellStart"/>
      <w:r w:rsidRPr="00AD5AF0">
        <w:rPr>
          <w:rFonts w:ascii="Times New Roman" w:hAnsi="Times New Roman" w:cs="Times New Roman"/>
          <w:sz w:val="24"/>
          <w:szCs w:val="24"/>
        </w:rPr>
        <w:t>Кондинского</w:t>
      </w:r>
      <w:proofErr w:type="spellEnd"/>
      <w:r w:rsidRPr="00AD5AF0">
        <w:rPr>
          <w:rFonts w:ascii="Times New Roman" w:hAnsi="Times New Roman" w:cs="Times New Roman"/>
          <w:sz w:val="24"/>
          <w:szCs w:val="24"/>
        </w:rPr>
        <w:t xml:space="preserve"> района по адресу: ул. Титова, д.26, </w:t>
      </w:r>
      <w:proofErr w:type="spellStart"/>
      <w:r w:rsidRPr="00AD5AF0">
        <w:rPr>
          <w:rFonts w:ascii="Times New Roman" w:hAnsi="Times New Roman" w:cs="Times New Roman"/>
          <w:sz w:val="24"/>
          <w:szCs w:val="24"/>
        </w:rPr>
        <w:t>пгт</w:t>
      </w:r>
      <w:proofErr w:type="spellEnd"/>
      <w:r w:rsidRPr="00AD5AF0">
        <w:rPr>
          <w:rFonts w:ascii="Times New Roman" w:hAnsi="Times New Roman" w:cs="Times New Roman"/>
          <w:sz w:val="24"/>
          <w:szCs w:val="24"/>
        </w:rPr>
        <w:t xml:space="preserve">. Междуреченский, </w:t>
      </w:r>
      <w:proofErr w:type="spellStart"/>
      <w:r w:rsidRPr="00AD5AF0">
        <w:rPr>
          <w:rFonts w:ascii="Times New Roman" w:hAnsi="Times New Roman" w:cs="Times New Roman"/>
          <w:sz w:val="24"/>
          <w:szCs w:val="24"/>
        </w:rPr>
        <w:t>Кондинский</w:t>
      </w:r>
      <w:proofErr w:type="spellEnd"/>
      <w:r w:rsidRPr="00AD5AF0">
        <w:rPr>
          <w:rFonts w:ascii="Times New Roman" w:hAnsi="Times New Roman" w:cs="Times New Roman"/>
          <w:sz w:val="24"/>
          <w:szCs w:val="24"/>
        </w:rPr>
        <w:t xml:space="preserve"> район, Ханты-Мансийский автономный округ – Югра, Тюменская область, 628200, тел. 8(34677)41077, 41035, или е-</w:t>
      </w:r>
      <w:proofErr w:type="spellStart"/>
      <w:r w:rsidRPr="00AD5AF0">
        <w:rPr>
          <w:rFonts w:ascii="Times New Roman" w:hAnsi="Times New Roman" w:cs="Times New Roman"/>
          <w:sz w:val="24"/>
          <w:szCs w:val="24"/>
        </w:rPr>
        <w:t>mail</w:t>
      </w:r>
      <w:proofErr w:type="spellEnd"/>
      <w:r w:rsidRPr="00AD5AF0">
        <w:rPr>
          <w:rFonts w:ascii="Times New Roman" w:hAnsi="Times New Roman" w:cs="Times New Roman"/>
          <w:sz w:val="24"/>
          <w:szCs w:val="24"/>
        </w:rPr>
        <w:t>: </w:t>
      </w:r>
      <w:hyperlink r:id="rId8" w:history="1">
        <w:r w:rsidRPr="00AD5AF0">
          <w:rPr>
            <w:rStyle w:val="a4"/>
            <w:rFonts w:ascii="Times New Roman" w:hAnsi="Times New Roman" w:cs="Times New Roman"/>
            <w:sz w:val="24"/>
            <w:szCs w:val="24"/>
          </w:rPr>
          <w:t>upr@admkonda.ru</w:t>
        </w:r>
      </w:hyperlink>
      <w:r w:rsidRPr="00AD5AF0">
        <w:rPr>
          <w:rFonts w:ascii="Times New Roman" w:hAnsi="Times New Roman" w:cs="Times New Roman"/>
          <w:sz w:val="24"/>
          <w:szCs w:val="24"/>
        </w:rPr>
        <w:t>.</w:t>
      </w:r>
    </w:p>
    <w:p w:rsidR="00165AC6" w:rsidRPr="00AD5AF0" w:rsidRDefault="00165AC6" w:rsidP="00AD5AF0">
      <w:pPr>
        <w:jc w:val="both"/>
        <w:rPr>
          <w:rFonts w:ascii="Times New Roman" w:hAnsi="Times New Roman" w:cs="Times New Roman"/>
          <w:sz w:val="24"/>
          <w:szCs w:val="24"/>
        </w:rPr>
      </w:pPr>
    </w:p>
    <w:sectPr w:rsidR="00165AC6" w:rsidRPr="00AD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BD"/>
    <w:rsid w:val="00165AC6"/>
    <w:rsid w:val="007067BD"/>
    <w:rsid w:val="00AD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8F242-F1DC-4FC5-B025-C099BBBF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5AF0"/>
    <w:rPr>
      <w:color w:val="0000FF"/>
      <w:u w:val="single"/>
    </w:rPr>
  </w:style>
  <w:style w:type="character" w:customStyle="1" w:styleId="date-create">
    <w:name w:val="date-create"/>
    <w:basedOn w:val="a0"/>
    <w:rsid w:val="00AD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20385">
      <w:bodyDiv w:val="1"/>
      <w:marLeft w:val="0"/>
      <w:marRight w:val="0"/>
      <w:marTop w:val="0"/>
      <w:marBottom w:val="0"/>
      <w:divBdr>
        <w:top w:val="none" w:sz="0" w:space="0" w:color="auto"/>
        <w:left w:val="none" w:sz="0" w:space="0" w:color="auto"/>
        <w:bottom w:val="none" w:sz="0" w:space="0" w:color="auto"/>
        <w:right w:val="none" w:sz="0" w:space="0" w:color="auto"/>
      </w:divBdr>
      <w:divsChild>
        <w:div w:id="162588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dmkonda.ru" TargetMode="External"/><Relationship Id="rId3" Type="http://schemas.openxmlformats.org/officeDocument/2006/relationships/webSettings" Target="webSettings.xml"/><Relationship Id="rId7" Type="http://schemas.openxmlformats.org/officeDocument/2006/relationships/hyperlink" Target="https://login.consultant.ru/link/?req=doc&amp;base=RLAW926&amp;n=252585&amp;date=29.04.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02619&amp;date=29.04.2022" TargetMode="External"/><Relationship Id="rId5" Type="http://schemas.openxmlformats.org/officeDocument/2006/relationships/hyperlink" Target="https://login.consultant.ru/link/?req=doc&amp;base=LAW&amp;n=402792&amp;date=29.04.2022" TargetMode="External"/><Relationship Id="rId10" Type="http://schemas.openxmlformats.org/officeDocument/2006/relationships/theme" Target="theme/theme1.xml"/><Relationship Id="rId4" Type="http://schemas.openxmlformats.org/officeDocument/2006/relationships/hyperlink" Target="https://login.consultant.ru/link/?req=doc&amp;base=LAW&amp;n=402617&amp;date=29.04.202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Журавлевская Олеся Сергеевна</dc:creator>
  <cp:keywords/>
  <dc:description/>
  <cp:lastModifiedBy>Журавлевская Олеся Сергеевна</cp:lastModifiedBy>
  <cp:revision>2</cp:revision>
  <dcterms:created xsi:type="dcterms:W3CDTF">2022-05-06T09:21:00Z</dcterms:created>
  <dcterms:modified xsi:type="dcterms:W3CDTF">2022-05-06T09:21:00Z</dcterms:modified>
</cp:coreProperties>
</file>