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7"/>
        <w:rPr>
          <w:rFonts w:ascii="Times New Roman" w:hAnsi="Times New Roman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676275"/>
                <wp:effectExtent l="0" t="0" r="0" b="9525"/>
                <wp:docPr id="1" name="Рисунок 4" descr="ГербКондинскогоРайо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ГербКондинскогоРайона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15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3.2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Муниципальное образование Кондинский район</w:t>
      </w:r>
      <w:r>
        <w:rPr>
          <w:b/>
          <w:bCs/>
          <w:color w:val="000000"/>
          <w:sz w:val="28"/>
          <w:szCs w:val="28"/>
        </w:rPr>
      </w:r>
    </w:p>
    <w:p>
      <w:pPr>
        <w:jc w:val="center"/>
        <w:rPr>
          <w:b/>
        </w:rPr>
      </w:pPr>
      <w:r>
        <w:rPr>
          <w:b/>
        </w:rPr>
        <w:t xml:space="preserve">Ханты-Мансийского автономного округа – Югры</w:t>
      </w:r>
      <w:r>
        <w:rPr>
          <w:b/>
        </w:rPr>
      </w:r>
    </w:p>
    <w:p>
      <w:r/>
      <w:r/>
    </w:p>
    <w:p>
      <w:r/>
      <w:r/>
    </w:p>
    <w:p>
      <w:pPr>
        <w:pStyle w:val="724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</w:rPr>
        <w:t xml:space="preserve">АДМИНИСТРАЦИЯ КОНДИНСКОГО РАЙОНА</w:t>
      </w:r>
      <w:r>
        <w:rPr>
          <w:rFonts w:ascii="Times New Roman" w:hAnsi="Times New Roman"/>
          <w:b/>
          <w:bCs/>
          <w:color w:val="000000"/>
          <w:szCs w:val="32"/>
        </w:rPr>
      </w:r>
    </w:p>
    <w:p>
      <w:pPr>
        <w:rPr>
          <w:color w:val="000000"/>
          <w:sz w:val="28"/>
        </w:rPr>
      </w:pPr>
      <w:r>
        <w:rPr>
          <w:color w:val="000000"/>
          <w:sz w:val="28"/>
        </w:rPr>
      </w:r>
      <w:r>
        <w:rPr>
          <w:color w:val="000000"/>
          <w:sz w:val="28"/>
        </w:rPr>
      </w:r>
    </w:p>
    <w:p>
      <w:pPr>
        <w:pStyle w:val="726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 xml:space="preserve">ПОСТАНОВЛЕНИЕ</w:t>
      </w:r>
      <w:r>
        <w:rPr>
          <w:rFonts w:ascii="Times New Roman" w:hAnsi="Times New Roman"/>
          <w:b/>
          <w:color w:val="000000"/>
          <w:sz w:val="32"/>
        </w:rPr>
      </w:r>
    </w:p>
    <w:p>
      <w:pPr>
        <w:jc w:val="center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28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 xml:space="preserve">05 июля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202</w:t>
            </w:r>
            <w:r>
              <w:rPr>
                <w:color w:val="000000"/>
                <w:sz w:val="28"/>
                <w:szCs w:val="28"/>
              </w:rPr>
              <w:t xml:space="preserve">4</w:t>
            </w:r>
            <w:r>
              <w:rPr>
                <w:color w:val="000000"/>
                <w:sz w:val="28"/>
                <w:szCs w:val="28"/>
              </w:rPr>
              <w:t xml:space="preserve"> года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19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73" w:type="pct"/>
            <w:textDirection w:val="lrTb"/>
            <w:noWrap w:val="false"/>
          </w:tcPr>
          <w:p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701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28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пгт. Междуреченский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91" w:type="pct"/>
            <w:textDirection w:val="lrTb"/>
            <w:noWrap w:val="false"/>
          </w:tcPr>
          <w:p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jc w:val="both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>
        <w:tblPrEx/>
        <w:trPr/>
        <w:tc>
          <w:tcPr>
            <w:tcW w:w="6062" w:type="dxa"/>
            <w:textDirection w:val="lrTb"/>
            <w:noWrap w:val="false"/>
          </w:tcPr>
          <w:p>
            <w:pPr>
              <w:widowControl w:val="off"/>
              <w:tabs>
                <w:tab w:val="left" w:pos="5103" w:leader="none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 внесении изменени</w:t>
            </w:r>
            <w:r>
              <w:rPr>
                <w:bCs/>
                <w:sz w:val="28"/>
                <w:szCs w:val="28"/>
              </w:rPr>
              <w:t xml:space="preserve">я</w:t>
            </w:r>
            <w:r>
              <w:rPr>
                <w:bCs/>
                <w:sz w:val="28"/>
                <w:szCs w:val="28"/>
              </w:rPr>
              <w:t xml:space="preserve"> в постановление администрации Кондинского района </w:t>
            </w:r>
            <w:r>
              <w:rPr>
                <w:bCs/>
                <w:sz w:val="28"/>
                <w:szCs w:val="28"/>
              </w:rPr>
            </w:r>
          </w:p>
          <w:p>
            <w:pPr>
              <w:widowControl w:val="off"/>
              <w:tabs>
                <w:tab w:val="left" w:pos="5103" w:leader="none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от 18 октября 2023 года № 1106</w:t>
            </w:r>
            <w:r>
              <w:rPr>
                <w:bCs/>
                <w:sz w:val="28"/>
                <w:szCs w:val="28"/>
              </w:rPr>
            </w:r>
          </w:p>
          <w:p>
            <w:pPr>
              <w:widowControl w:val="off"/>
              <w:tabs>
                <w:tab w:val="left" w:pos="5103" w:leader="none"/>
              </w:tabs>
              <w:rPr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«Об утверждении </w:t>
            </w:r>
            <w:r>
              <w:rPr>
                <w:bCs/>
                <w:sz w:val="28"/>
                <w:szCs w:val="28"/>
              </w:rPr>
              <w:t xml:space="preserve">проекта планировки </w:t>
            </w:r>
            <w:r>
              <w:rPr>
                <w:bCs/>
                <w:sz w:val="28"/>
                <w:szCs w:val="28"/>
              </w:rPr>
              <w:t xml:space="preserve">и </w:t>
            </w:r>
            <w:r>
              <w:rPr>
                <w:bCs/>
                <w:sz w:val="28"/>
                <w:szCs w:val="28"/>
              </w:rPr>
              <w:t xml:space="preserve">проекта межевания</w:t>
            </w:r>
            <w:r>
              <w:rPr>
                <w:bCs/>
                <w:sz w:val="28"/>
                <w:szCs w:val="28"/>
              </w:rPr>
              <w:t xml:space="preserve"> территории»</w:t>
            </w: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45 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кодекса 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 Федеральным законом от 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6 октября 2003 года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на основании</w:t>
      </w:r>
      <w:r>
        <w:rPr>
          <w:sz w:val="28"/>
          <w:szCs w:val="28"/>
        </w:rPr>
        <w:t xml:space="preserve"> обращения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акционерного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общества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«Нефтяная компания «Конданефть»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администрация Кондинского района постановляет:</w:t>
      </w:r>
      <w:r>
        <w:rPr>
          <w:b/>
          <w:sz w:val="28"/>
          <w:szCs w:val="28"/>
        </w:rPr>
      </w:r>
    </w:p>
    <w:p>
      <w:pPr>
        <w:contextualSpacing/>
        <w:ind w:firstLine="709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в постановление администрации Кондинского района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от 18 октября 2023 года № 1106 </w:t>
      </w:r>
      <w:r>
        <w:rPr>
          <w:sz w:val="28"/>
          <w:szCs w:val="28"/>
        </w:rPr>
        <w:t xml:space="preserve">«Об</w:t>
      </w:r>
      <w:r>
        <w:rPr>
          <w:sz w:val="28"/>
          <w:szCs w:val="28"/>
        </w:rPr>
        <w:t xml:space="preserve"> утверждении проекта</w:t>
      </w:r>
      <w:r>
        <w:rPr>
          <w:sz w:val="28"/>
          <w:szCs w:val="28"/>
        </w:rPr>
        <w:t xml:space="preserve"> планировк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проекта межевания</w:t>
      </w:r>
      <w:r>
        <w:rPr>
          <w:sz w:val="28"/>
          <w:szCs w:val="28"/>
        </w:rPr>
        <w:t xml:space="preserve"> территории» следующее изменение: </w:t>
      </w:r>
      <w:r>
        <w:rPr>
          <w:sz w:val="28"/>
          <w:szCs w:val="28"/>
        </w:rPr>
      </w:r>
    </w:p>
    <w:p>
      <w:pPr>
        <w:pStyle w:val="749"/>
        <w:ind w:left="0" w:firstLine="709"/>
        <w:jc w:val="both"/>
        <w:spacing w:after="0" w:line="24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 к постановлению изложить в новой редакции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</w:t>
      </w:r>
      <w:r>
        <w:rPr>
          <w:rFonts w:ascii="Times New Roman" w:hAnsi="Times New Roman"/>
          <w:sz w:val="28"/>
          <w:szCs w:val="28"/>
        </w:rPr>
        <w:t xml:space="preserve">п</w:t>
      </w:r>
      <w:r>
        <w:rPr>
          <w:rFonts w:ascii="Times New Roman" w:hAnsi="Times New Roman"/>
          <w:sz w:val="28"/>
          <w:szCs w:val="28"/>
        </w:rPr>
        <w:t xml:space="preserve">риложение).</w:t>
      </w:r>
      <w:r>
        <w:rPr>
          <w:rFonts w:ascii="Times New Roman" w:hAnsi="Times New Roman"/>
          <w:sz w:val="28"/>
          <w:szCs w:val="28"/>
        </w:rPr>
      </w:r>
    </w:p>
    <w:p>
      <w:pPr>
        <w:ind w:right="-1" w:firstLine="709"/>
        <w:jc w:val="both"/>
        <w:widowControl w:val="off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>
        <w:rPr>
          <w:sz w:val="28"/>
          <w:szCs w:val="28"/>
        </w:rPr>
        <w:t xml:space="preserve">сайте органов местного самоуправления Кондинского района. 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>
        <w:rPr>
          <w:sz w:val="28"/>
          <w:szCs w:val="28"/>
        </w:rPr>
        <w:t xml:space="preserve">Контроль за</w:t>
      </w:r>
      <w:r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  <w:r>
        <w:rPr>
          <w:sz w:val="28"/>
          <w:szCs w:val="28"/>
        </w:rPr>
      </w:r>
    </w:p>
    <w:p>
      <w:pPr>
        <w:jc w:val="both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>
        <w:tblPrEx/>
        <w:trPr/>
        <w:tc>
          <w:tcPr>
            <w:tcW w:w="2368" w:type="pct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Исполняющий</w:t>
            </w:r>
            <w:r>
              <w:rPr>
                <w:sz w:val="28"/>
                <w:szCs w:val="28"/>
              </w:rPr>
              <w:t xml:space="preserve"> обязанности 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  <w:t xml:space="preserve">лав</w:t>
            </w:r>
            <w:r>
              <w:rPr>
                <w:sz w:val="28"/>
                <w:szCs w:val="28"/>
              </w:rPr>
              <w:t xml:space="preserve">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района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38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left w:val="none" w:color="000000" w:sz="4" w:space="0"/>
            </w:tcBorders>
            <w:tcW w:w="1694" w:type="pct"/>
            <w:textDirection w:val="lrTb"/>
            <w:noWrap w:val="false"/>
          </w:tcPr>
          <w:p>
            <w:pPr>
              <w:ind w:lef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  <w:t xml:space="preserve">.В.</w:t>
            </w:r>
            <w:r>
              <w:rPr>
                <w:sz w:val="28"/>
                <w:szCs w:val="28"/>
              </w:rPr>
              <w:t xml:space="preserve">Зяблицев</w:t>
            </w: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rPr>
          <w:color w:val="000000"/>
          <w:sz w:val="16"/>
        </w:rPr>
      </w:pPr>
      <w:r>
        <w:rPr>
          <w:color w:val="000000"/>
          <w:sz w:val="16"/>
        </w:rPr>
      </w:r>
      <w:r>
        <w:rPr>
          <w:color w:val="000000"/>
          <w:sz w:val="16"/>
        </w:rPr>
      </w:r>
    </w:p>
    <w:p>
      <w:pPr>
        <w:rPr>
          <w:color w:val="000000"/>
          <w:sz w:val="16"/>
        </w:rPr>
      </w:pPr>
      <w:r>
        <w:rPr>
          <w:color w:val="000000"/>
          <w:sz w:val="16"/>
        </w:rPr>
      </w:r>
      <w:r>
        <w:rPr>
          <w:color w:val="000000"/>
          <w:sz w:val="16"/>
        </w:rPr>
      </w:r>
    </w:p>
    <w:p>
      <w:pPr>
        <w:rPr>
          <w:color w:val="000000"/>
          <w:sz w:val="16"/>
        </w:rPr>
      </w:pPr>
      <w:r>
        <w:rPr>
          <w:color w:val="000000"/>
          <w:sz w:val="16"/>
        </w:rPr>
      </w:r>
      <w:r>
        <w:rPr>
          <w:color w:val="000000"/>
          <w:sz w:val="16"/>
        </w:rPr>
      </w:r>
    </w:p>
    <w:p>
      <w:pPr>
        <w:rPr>
          <w:color w:val="000000"/>
          <w:sz w:val="16"/>
        </w:rPr>
      </w:pPr>
      <w:r>
        <w:rPr>
          <w:color w:val="000000"/>
          <w:sz w:val="16"/>
        </w:rPr>
      </w:r>
      <w:r>
        <w:rPr>
          <w:color w:val="000000"/>
          <w:sz w:val="16"/>
        </w:rPr>
      </w:r>
    </w:p>
    <w:p>
      <w:pPr>
        <w:rPr>
          <w:color w:val="000000"/>
          <w:sz w:val="16"/>
        </w:rPr>
      </w:pPr>
      <w:r>
        <w:rPr>
          <w:color w:val="000000"/>
          <w:sz w:val="16"/>
        </w:rPr>
      </w:r>
      <w:r>
        <w:rPr>
          <w:color w:val="000000"/>
          <w:sz w:val="16"/>
        </w:rPr>
      </w:r>
    </w:p>
    <w:p>
      <w:pPr>
        <w:rPr>
          <w:color w:val="000000"/>
          <w:sz w:val="16"/>
        </w:rPr>
      </w:pPr>
      <w:r>
        <w:rPr>
          <w:color w:val="000000"/>
          <w:sz w:val="16"/>
        </w:rPr>
      </w:r>
      <w:r>
        <w:rPr>
          <w:color w:val="000000"/>
          <w:sz w:val="16"/>
        </w:rPr>
      </w:r>
    </w:p>
    <w:p>
      <w:pPr>
        <w:rPr>
          <w:color w:val="000000"/>
          <w:sz w:val="16"/>
        </w:rPr>
      </w:pPr>
      <w:r>
        <w:rPr>
          <w:color w:val="000000"/>
          <w:sz w:val="16"/>
        </w:rPr>
      </w:r>
      <w:r>
        <w:rPr>
          <w:color w:val="000000"/>
          <w:sz w:val="16"/>
        </w:rPr>
      </w:r>
    </w:p>
    <w:p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  <w:r>
        <w:rPr>
          <w:color w:val="000000"/>
          <w:sz w:val="16"/>
          <w:szCs w:val="16"/>
        </w:rPr>
      </w:r>
    </w:p>
    <w:p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  <w:r>
        <w:rPr>
          <w:color w:val="000000"/>
          <w:sz w:val="16"/>
          <w:szCs w:val="16"/>
        </w:rPr>
      </w:r>
    </w:p>
    <w:p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ки</w:t>
      </w:r>
      <w:r>
        <w:rPr>
          <w:color w:val="000000"/>
          <w:sz w:val="16"/>
          <w:szCs w:val="16"/>
        </w:rPr>
        <w:t xml:space="preserve">/Банк документов/П</w:t>
      </w:r>
      <w:r>
        <w:rPr>
          <w:color w:val="000000"/>
          <w:sz w:val="16"/>
          <w:szCs w:val="16"/>
        </w:rPr>
        <w:t xml:space="preserve">остановления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202</w:t>
      </w:r>
      <w:r>
        <w:rPr>
          <w:color w:val="000000"/>
          <w:sz w:val="16"/>
          <w:szCs w:val="16"/>
        </w:rPr>
        <w:t xml:space="preserve">4</w:t>
      </w:r>
      <w:r>
        <w:rPr>
          <w:color w:val="000000"/>
          <w:sz w:val="16"/>
          <w:szCs w:val="16"/>
        </w:rPr>
      </w:r>
    </w:p>
    <w:p>
      <w:pPr>
        <w:ind w:left="4962"/>
        <w:shd w:val="clear" w:color="auto" w:fill="ffffff"/>
        <w:tabs>
          <w:tab w:val="left" w:pos="4962" w:leader="none"/>
        </w:tabs>
      </w:pPr>
      <w:r>
        <w:t xml:space="preserve">Приложение</w:t>
      </w:r>
      <w:r/>
    </w:p>
    <w:p>
      <w:pPr>
        <w:ind w:left="4962"/>
        <w:shd w:val="clear" w:color="auto" w:fill="ffffff"/>
        <w:tabs>
          <w:tab w:val="left" w:pos="4962" w:leader="none"/>
        </w:tabs>
      </w:pPr>
      <w:r>
        <w:t xml:space="preserve">к постановлению администрации района</w:t>
      </w:r>
      <w:r/>
    </w:p>
    <w:p>
      <w:pPr>
        <w:ind w:left="4962"/>
        <w:tabs>
          <w:tab w:val="left" w:pos="4962" w:leader="none"/>
        </w:tabs>
      </w:pPr>
      <w:r>
        <w:t xml:space="preserve">от </w:t>
      </w:r>
      <w:r>
        <w:t xml:space="preserve">05</w:t>
      </w:r>
      <w:r>
        <w:t xml:space="preserve">.0</w:t>
      </w:r>
      <w:r>
        <w:t xml:space="preserve">7</w:t>
      </w:r>
      <w:r>
        <w:t xml:space="preserve">.2024</w:t>
      </w:r>
      <w:r>
        <w:t xml:space="preserve"> № </w:t>
      </w:r>
      <w:r>
        <w:t xml:space="preserve">701</w:t>
      </w:r>
      <w:r/>
    </w:p>
    <w:p>
      <w:pPr>
        <w:ind w:left="4962"/>
        <w:tabs>
          <w:tab w:val="left" w:pos="4962" w:leader="none"/>
        </w:tabs>
      </w:pPr>
      <w:r/>
      <w:r/>
    </w:p>
    <w:p>
      <w:pPr>
        <w:jc w:val="center"/>
        <w:tabs>
          <w:tab w:val="left" w:pos="0" w:leader="none"/>
        </w:tabs>
      </w:pPr>
      <w:r>
        <w:t xml:space="preserve">1. </w:t>
      </w:r>
      <w:r>
        <w:t xml:space="preserve">Основная часть проекта планировки территории. Графическая часть</w:t>
      </w:r>
      <w:r/>
    </w:p>
    <w:p>
      <w:pPr>
        <w:jc w:val="center"/>
        <w:tabs>
          <w:tab w:val="left" w:pos="0" w:leader="none"/>
        </w:tabs>
      </w:pPr>
      <w:r/>
      <w:r/>
    </w:p>
    <w:p>
      <w:pPr>
        <w:jc w:val="center"/>
      </w:pPr>
      <w:r>
        <w:t xml:space="preserve">Чертеж границ зон планируемого размещения линейных объектов. Лист 1</w:t>
      </w:r>
      <w:r/>
    </w:p>
    <w:p>
      <w:pPr>
        <w:jc w:val="center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76200</wp:posOffset>
                </wp:positionV>
                <wp:extent cx="5969000" cy="8215630"/>
                <wp:effectExtent l="0" t="0" r="0" b="0"/>
                <wp:wrapNone/>
                <wp:docPr id="2" name="Рисунок 3" descr="211028-П-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211028-П-5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69000" cy="821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9264;o:allowoverlap:true;o:allowincell:true;mso-position-horizontal-relative:text;margin-left:8.25pt;mso-position-horizontal:absolute;mso-position-vertical-relative:text;margin-top:6.00pt;mso-position-vertical:absolute;width:470.00pt;height:646.90pt;mso-wrap-distance-left:9.00pt;mso-wrap-distance-top:0.00pt;mso-wrap-distance-right:9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center"/>
      </w:pPr>
      <w:r/>
      <w:r/>
    </w:p>
    <w:p>
      <w:pPr>
        <w:jc w:val="center"/>
      </w:pPr>
      <w:r>
        <w:t xml:space="preserve">Чертеж границ зон планируемого размещения линейных объектов. Лист 2</w:t>
      </w:r>
      <w:r/>
    </w:p>
    <w:p>
      <w:pPr>
        <w:jc w:val="center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86995</wp:posOffset>
                </wp:positionV>
                <wp:extent cx="6363970" cy="9012555"/>
                <wp:effectExtent l="0" t="0" r="0" b="0"/>
                <wp:wrapNone/>
                <wp:docPr id="3" name="Рисунок 4" descr="211028-П-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211028-П-5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63970" cy="901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61312;o:allowoverlap:true;o:allowincell:true;mso-position-horizontal-relative:text;margin-left:-6.00pt;mso-position-horizontal:absolute;mso-position-vertical-relative:text;margin-top:6.85pt;mso-position-vertical:absolute;width:501.10pt;height:709.65pt;mso-wrap-distance-left:9.00pt;mso-wrap-distance-top:0.00pt;mso-wrap-distance-right:9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bookmarkStart w:id="0" w:name="_GoBack"/>
      <w:r/>
      <w:bookmarkEnd w:id="0"/>
      <w:r>
        <w:t xml:space="preserve">Чертеж границ зон планируемого размещения линейных объектов. Лист 3</w:t>
      </w:r>
      <w:r/>
    </w:p>
    <w:p>
      <w:pPr>
        <w:jc w:val="center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116840</wp:posOffset>
                </wp:positionV>
                <wp:extent cx="6108065" cy="8646795"/>
                <wp:effectExtent l="0" t="0" r="6985" b="1905"/>
                <wp:wrapNone/>
                <wp:docPr id="4" name="Рисунок 5" descr="211028-П-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211028-П-5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08065" cy="864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3360;o:allowoverlap:true;o:allowincell:true;mso-position-horizontal-relative:text;margin-left:-4.30pt;mso-position-horizontal:absolute;mso-position-vertical-relative:text;margin-top:9.20pt;mso-position-vertical:absolute;width:480.95pt;height:680.85pt;mso-wrap-distance-left:9.00pt;mso-wrap-distance-top:0.00pt;mso-wrap-distance-right:9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p>
      <w:pPr>
        <w:pStyle w:val="749"/>
        <w:ind w:left="0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/>
      <w:bookmarkStart w:id="1" w:name="_Toc485720801"/>
      <w:r/>
      <w:bookmarkStart w:id="2" w:name="_Toc491165231"/>
      <w:r/>
      <w:bookmarkStart w:id="3" w:name="_Toc34400637"/>
      <w:r>
        <w:rPr>
          <w:rFonts w:ascii="Times New Roman" w:hAnsi="Times New Roman"/>
          <w:sz w:val="24"/>
          <w:szCs w:val="24"/>
        </w:rPr>
        <w:t xml:space="preserve">1.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Основная часть проекта планировки территории. Текстовая часть</w:t>
      </w:r>
      <w:r>
        <w:rPr>
          <w:rFonts w:ascii="Times New Roman" w:hAnsi="Times New Roman"/>
          <w:sz w:val="24"/>
          <w:szCs w:val="24"/>
        </w:rPr>
      </w:r>
    </w:p>
    <w:p>
      <w:pPr>
        <w:pStyle w:val="725"/>
        <w:jc w:val="center"/>
        <w:keepLines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1.</w:t>
      </w:r>
      <w:r>
        <w:rPr>
          <w:sz w:val="24"/>
        </w:rPr>
        <w:t xml:space="preserve">1</w:t>
      </w:r>
      <w:r>
        <w:rPr>
          <w:sz w:val="24"/>
        </w:rPr>
        <w:t xml:space="preserve">.1. </w:t>
      </w:r>
      <w:r>
        <w:rPr>
          <w:sz w:val="24"/>
        </w:rPr>
        <w:t xml:space="preserve">Наименование, основные характеристики и назначение планируемых для размещения линейных объектов</w:t>
      </w:r>
      <w:bookmarkStart w:id="4" w:name="_Toc34400638"/>
      <w:r/>
      <w:bookmarkStart w:id="5" w:name="_Toc526171408"/>
      <w:r/>
      <w:bookmarkStart w:id="6" w:name="_Toc512263330"/>
      <w:r/>
      <w:bookmarkStart w:id="7" w:name="_Toc23864337"/>
      <w:r/>
      <w:bookmarkStart w:id="8" w:name="_Toc508700077"/>
      <w:r/>
      <w:bookmarkStart w:id="9" w:name="_Toc485720802"/>
      <w:r/>
      <w:bookmarkStart w:id="10" w:name="_Toc491165232"/>
      <w:r/>
      <w:bookmarkEnd w:id="1"/>
      <w:r/>
      <w:bookmarkEnd w:id="2"/>
      <w:r/>
      <w:bookmarkEnd w:id="3"/>
      <w:r/>
      <w:r>
        <w:rPr>
          <w:sz w:val="24"/>
        </w:rPr>
      </w:r>
    </w:p>
    <w:p>
      <w:r/>
      <w:r/>
    </w:p>
    <w:p>
      <w:pPr>
        <w:pStyle w:val="725"/>
        <w:jc w:val="center"/>
        <w:keepLines/>
        <w:spacing w:after="240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Проектная документация «Обустройство Кондинского месторождения. Ку</w:t>
      </w:r>
      <w:r>
        <w:rPr>
          <w:sz w:val="24"/>
        </w:rPr>
        <w:t xml:space="preserve">ст скв</w:t>
      </w:r>
      <w:r>
        <w:rPr>
          <w:sz w:val="24"/>
        </w:rPr>
        <w:t xml:space="preserve">ажин 40 и коридоры коммуникаций» включает следующие проектируемые объекты:</w:t>
      </w:r>
      <w:r>
        <w:rPr>
          <w:sz w:val="24"/>
        </w:rPr>
      </w:r>
    </w:p>
    <w:p>
      <w:r/>
      <w:r/>
    </w:p>
    <w:p>
      <w:pPr>
        <w:pStyle w:val="956"/>
      </w:pPr>
      <w:r>
        <w:t xml:space="preserve">Ку</w:t>
      </w:r>
      <w:r>
        <w:t xml:space="preserve">ст скв</w:t>
      </w:r>
      <w:r>
        <w:t xml:space="preserve">ажин №40</w:t>
      </w:r>
      <w:r/>
    </w:p>
    <w:p>
      <w:pPr>
        <w:pStyle w:val="956"/>
      </w:pPr>
      <w:r>
        <w:t xml:space="preserve">Нефтегазосборный трубопровод от кустовой площадки 40 до т.35а </w:t>
      </w:r>
      <w:r/>
    </w:p>
    <w:p>
      <w:pPr>
        <w:pStyle w:val="956"/>
      </w:pPr>
      <w:r>
        <w:t xml:space="preserve">Высоконапорный водовод </w:t>
      </w:r>
      <w:r>
        <w:t xml:space="preserve">от</w:t>
      </w:r>
      <w:r>
        <w:t xml:space="preserve"> УЗА в 34 до кустовой площадки 40</w:t>
      </w:r>
      <w:r/>
    </w:p>
    <w:p>
      <w:pPr>
        <w:pStyle w:val="956"/>
      </w:pPr>
      <w:r>
        <w:t xml:space="preserve">Узел запорной арматуры</w:t>
      </w:r>
      <w:r/>
    </w:p>
    <w:p>
      <w:pPr>
        <w:pStyle w:val="956"/>
      </w:pPr>
      <w:r>
        <w:t xml:space="preserve">ВЛ</w:t>
      </w:r>
      <w:r>
        <w:t xml:space="preserve"> 10 </w:t>
      </w:r>
      <w:r>
        <w:t xml:space="preserve">кВ</w:t>
      </w:r>
      <w:r>
        <w:t xml:space="preserve"> к кусту скважин № 40 (линии №1.1; №1.2; №2.1; №2.2)</w:t>
      </w:r>
      <w:r/>
    </w:p>
    <w:p>
      <w:pPr>
        <w:pStyle w:val="956"/>
      </w:pPr>
      <w:r>
        <w:t xml:space="preserve">Подъездная автодорога на ку</w:t>
      </w:r>
      <w:r>
        <w:t xml:space="preserve">ст скв</w:t>
      </w:r>
      <w:r>
        <w:t xml:space="preserve">ажин № 40</w:t>
      </w:r>
      <w:r/>
    </w:p>
    <w:p>
      <w:pPr>
        <w:ind w:left="1429"/>
        <w:jc w:val="both"/>
        <w:rPr>
          <w:bCs/>
          <w:u w:val="single"/>
        </w:rPr>
      </w:pPr>
      <w:r>
        <w:rPr>
          <w:bCs/>
          <w:u w:val="single"/>
        </w:rPr>
      </w:r>
      <w:r>
        <w:rPr>
          <w:bCs/>
          <w:u w:val="single"/>
        </w:rPr>
      </w:r>
    </w:p>
    <w:p>
      <w:pPr>
        <w:pStyle w:val="956"/>
        <w:ind w:firstLine="0"/>
        <w:jc w:val="center"/>
      </w:pPr>
      <w:r>
        <w:t xml:space="preserve">Проектируемые трубопроводы</w:t>
      </w:r>
      <w:bookmarkEnd w:id="4"/>
      <w:r/>
      <w:r/>
    </w:p>
    <w:p>
      <w:pPr>
        <w:pStyle w:val="956"/>
      </w:pPr>
      <w:r/>
      <w:r/>
    </w:p>
    <w:p>
      <w:pPr>
        <w:ind w:firstLine="709"/>
        <w:jc w:val="both"/>
        <w:rPr>
          <w:bCs/>
        </w:rPr>
      </w:pPr>
      <w:r/>
      <w:bookmarkStart w:id="11" w:name="_Toc23864338"/>
      <w:r/>
      <w:bookmarkStart w:id="12" w:name="_Toc34400639"/>
      <w:r/>
      <w:bookmarkEnd w:id="5"/>
      <w:r/>
      <w:bookmarkEnd w:id="6"/>
      <w:r/>
      <w:bookmarkEnd w:id="7"/>
      <w:r>
        <w:rPr>
          <w:bCs/>
        </w:rPr>
        <w:t xml:space="preserve">Параметры проектируемых трубопроводов приведены в таблице 1.</w:t>
      </w:r>
      <w:r>
        <w:rPr>
          <w:bCs/>
        </w:rPr>
      </w:r>
    </w:p>
    <w:p>
      <w:pPr>
        <w:pStyle w:val="884"/>
        <w:ind w:firstLine="0"/>
        <w:jc w:val="right"/>
        <w:rPr>
          <w:bCs/>
          <w:szCs w:val="24"/>
        </w:rPr>
      </w:pPr>
      <w:r>
        <w:rPr>
          <w:bCs/>
          <w:szCs w:val="24"/>
        </w:rPr>
      </w:r>
      <w:r>
        <w:rPr>
          <w:bCs/>
          <w:szCs w:val="24"/>
        </w:rPr>
      </w:r>
    </w:p>
    <w:p>
      <w:pPr>
        <w:pStyle w:val="884"/>
        <w:ind w:firstLine="0"/>
        <w:jc w:val="right"/>
        <w:rPr>
          <w:bCs/>
          <w:szCs w:val="24"/>
        </w:rPr>
      </w:pPr>
      <w:r>
        <w:rPr>
          <w:bCs/>
          <w:szCs w:val="24"/>
        </w:rPr>
        <w:t xml:space="preserve">Таблица 1 </w:t>
      </w:r>
      <w:r>
        <w:rPr>
          <w:bCs/>
          <w:szCs w:val="24"/>
        </w:rPr>
      </w:r>
    </w:p>
    <w:p>
      <w:pPr>
        <w:pStyle w:val="884"/>
        <w:ind w:firstLine="0"/>
        <w:jc w:val="right"/>
        <w:rPr>
          <w:bCs/>
          <w:szCs w:val="24"/>
        </w:rPr>
      </w:pPr>
      <w:r>
        <w:rPr>
          <w:bCs/>
          <w:szCs w:val="24"/>
        </w:rPr>
      </w:r>
      <w:r>
        <w:rPr>
          <w:bCs/>
          <w:szCs w:val="24"/>
        </w:rPr>
      </w:r>
    </w:p>
    <w:p>
      <w:pPr>
        <w:pStyle w:val="884"/>
        <w:ind w:firstLine="0"/>
        <w:jc w:val="center"/>
        <w:rPr>
          <w:bCs/>
          <w:szCs w:val="24"/>
        </w:rPr>
      </w:pPr>
      <w:r>
        <w:rPr>
          <w:bCs/>
          <w:szCs w:val="24"/>
        </w:rPr>
        <w:t xml:space="preserve">Параметры проектируемых трубопроводов</w:t>
      </w:r>
      <w:r>
        <w:rPr>
          <w:bCs/>
          <w:szCs w:val="24"/>
        </w:rPr>
      </w:r>
    </w:p>
    <w:p>
      <w:pPr>
        <w:pStyle w:val="884"/>
        <w:ind w:firstLine="0"/>
        <w:jc w:val="both"/>
        <w:rPr>
          <w:bCs/>
          <w:szCs w:val="24"/>
        </w:rPr>
      </w:pPr>
      <w:r>
        <w:rPr>
          <w:bCs/>
          <w:szCs w:val="24"/>
        </w:rPr>
      </w:r>
      <w:r>
        <w:rPr>
          <w:bCs/>
          <w:szCs w:val="24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003"/>
        <w:gridCol w:w="1789"/>
        <w:gridCol w:w="1847"/>
      </w:tblGrid>
      <w:tr>
        <w:tblPrEx/>
        <w:trPr>
          <w:trHeight w:val="68"/>
        </w:trPr>
        <w:tc>
          <w:tcPr>
            <w:shd w:val="clear" w:color="auto" w:fill="auto"/>
            <w:tcW w:w="3114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Участок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  <w:t xml:space="preserve">объекта</w:t>
            </w:r>
            <w:r>
              <w:rPr>
                <w:bCs/>
                <w:lang w:val="en-US" w:bidi="en-US"/>
              </w:rPr>
            </w:r>
          </w:p>
        </w:tc>
        <w:tc>
          <w:tcPr>
            <w:shd w:val="clear" w:color="auto" w:fill="auto"/>
            <w:tcW w:w="928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Ед</w:t>
            </w:r>
            <w:r>
              <w:rPr>
                <w:bCs/>
                <w:lang w:bidi="en-US"/>
              </w:rPr>
              <w:t xml:space="preserve">иница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  <w:t xml:space="preserve">измерения</w:t>
            </w:r>
            <w:r>
              <w:rPr>
                <w:bCs/>
                <w:lang w:val="en-US" w:bidi="en-US"/>
              </w:rPr>
            </w:r>
          </w:p>
        </w:tc>
        <w:tc>
          <w:tcPr>
            <w:shd w:val="clear" w:color="auto" w:fill="auto"/>
            <w:tcW w:w="958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Количество</w:t>
            </w:r>
            <w:r>
              <w:rPr>
                <w:bCs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3114" w:type="pct"/>
            <w:textDirection w:val="lrTb"/>
            <w:noWrap w:val="false"/>
          </w:tcPr>
          <w:p>
            <w:pPr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Нефтегазосборный трубопровод от кустовой площадки 40 до т.35а 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928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58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2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529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3114" w:type="pct"/>
            <w:textDirection w:val="lrTb"/>
            <w:noWrap w:val="false"/>
          </w:tcPr>
          <w:p>
            <w:pPr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Высоконапорный водовод </w:t>
            </w:r>
            <w:r>
              <w:rPr>
                <w:lang w:bidi="en-US"/>
              </w:rPr>
              <w:t xml:space="preserve">от</w:t>
            </w:r>
            <w:r>
              <w:rPr>
                <w:lang w:bidi="en-US"/>
              </w:rPr>
              <w:t xml:space="preserve"> УЗА в 34 до кустовой площадки 40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928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58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2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557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3114" w:type="pct"/>
            <w:textDirection w:val="lrTb"/>
            <w:noWrap w:val="false"/>
          </w:tcPr>
          <w:p>
            <w:pPr>
              <w:rPr>
                <w:lang w:val="en-US" w:bidi="en-US"/>
              </w:rPr>
            </w:pPr>
            <w:r>
              <w:rPr>
                <w:lang w:bidi="en-US"/>
              </w:rPr>
              <w:t xml:space="preserve">У</w:t>
            </w:r>
            <w:r>
              <w:rPr>
                <w:lang w:val="en-US" w:bidi="en-US"/>
              </w:rPr>
              <w:t xml:space="preserve">зел</w:t>
            </w:r>
            <w:r>
              <w:rPr>
                <w:lang w:val="en-US" w:bidi="en-US"/>
              </w:rPr>
              <w:t xml:space="preserve"> </w:t>
            </w:r>
            <w:r>
              <w:rPr>
                <w:lang w:val="en-US" w:bidi="en-US"/>
              </w:rPr>
              <w:t xml:space="preserve">задвижек</w:t>
            </w:r>
            <w:r>
              <w:rPr>
                <w:lang w:val="en-US" w:bidi="en-US"/>
              </w:rPr>
              <w:t xml:space="preserve"> 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28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шт</w:t>
            </w:r>
            <w:r>
              <w:rPr>
                <w:lang w:val="en-US" w:bidi="en-US"/>
              </w:rPr>
              <w:t xml:space="preserve">.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58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1</w:t>
            </w:r>
            <w:r>
              <w:rPr>
                <w:lang w:val="en-US" w:bidi="en-US"/>
              </w:rPr>
            </w:r>
          </w:p>
        </w:tc>
      </w:tr>
    </w:tbl>
    <w:p>
      <w:pPr>
        <w:pStyle w:val="956"/>
      </w:pPr>
      <w:r/>
      <w:r/>
    </w:p>
    <w:p>
      <w:pPr>
        <w:pStyle w:val="956"/>
      </w:pPr>
      <w:r>
        <w:t xml:space="preserve">Проектируемая </w:t>
      </w:r>
      <w:r>
        <w:t xml:space="preserve">ВЛ</w:t>
      </w:r>
      <w:r>
        <w:t xml:space="preserve"> 10 </w:t>
      </w:r>
      <w:r>
        <w:t xml:space="preserve">кВ</w:t>
      </w:r>
      <w:bookmarkEnd w:id="11"/>
      <w:r/>
      <w:bookmarkEnd w:id="12"/>
      <w:r/>
      <w:r/>
    </w:p>
    <w:p>
      <w:pPr>
        <w:pStyle w:val="956"/>
      </w:pPr>
      <w:r/>
      <w:r/>
    </w:p>
    <w:p>
      <w:pPr>
        <w:ind w:firstLine="709"/>
        <w:spacing w:line="360" w:lineRule="auto"/>
        <w:rPr>
          <w:bCs/>
        </w:rPr>
      </w:pPr>
      <w:r/>
      <w:bookmarkStart w:id="13" w:name="_Toc23864339"/>
      <w:r/>
      <w:bookmarkStart w:id="14" w:name="_Toc34400640"/>
      <w:r>
        <w:rPr>
          <w:bCs/>
        </w:rPr>
        <w:t xml:space="preserve">Параметры проектируемой </w:t>
      </w:r>
      <w:r>
        <w:rPr>
          <w:bCs/>
        </w:rPr>
        <w:t xml:space="preserve">ВЛ</w:t>
      </w:r>
      <w:r>
        <w:rPr>
          <w:bCs/>
        </w:rPr>
        <w:t xml:space="preserve"> 10 </w:t>
      </w:r>
      <w:r>
        <w:rPr>
          <w:bCs/>
        </w:rPr>
        <w:t xml:space="preserve">кВ</w:t>
      </w:r>
      <w:r>
        <w:rPr>
          <w:bCs/>
        </w:rPr>
        <w:t xml:space="preserve"> приведены в таблице 2.</w:t>
      </w:r>
      <w:r>
        <w:rPr>
          <w:bCs/>
        </w:rPr>
      </w:r>
    </w:p>
    <w:p>
      <w:pPr>
        <w:pStyle w:val="884"/>
        <w:ind w:firstLine="0"/>
        <w:jc w:val="right"/>
        <w:spacing w:line="360" w:lineRule="auto"/>
        <w:rPr>
          <w:bCs/>
          <w:szCs w:val="24"/>
        </w:rPr>
      </w:pPr>
      <w:r>
        <w:rPr>
          <w:bCs/>
          <w:szCs w:val="24"/>
        </w:rPr>
        <w:t xml:space="preserve">Таблица 2 </w:t>
      </w:r>
      <w:r>
        <w:rPr>
          <w:bCs/>
          <w:szCs w:val="24"/>
        </w:rPr>
      </w:r>
    </w:p>
    <w:p>
      <w:pPr>
        <w:pStyle w:val="884"/>
        <w:ind w:firstLine="0"/>
        <w:jc w:val="center"/>
        <w:rPr>
          <w:bCs/>
          <w:szCs w:val="24"/>
        </w:rPr>
      </w:pPr>
      <w:r>
        <w:rPr>
          <w:bCs/>
          <w:szCs w:val="24"/>
        </w:rPr>
        <w:t xml:space="preserve">Параметры проектируемой </w:t>
      </w:r>
      <w:r>
        <w:rPr>
          <w:bCs/>
          <w:szCs w:val="24"/>
        </w:rPr>
        <w:t xml:space="preserve">ВЛ</w:t>
      </w:r>
      <w:r>
        <w:rPr>
          <w:bCs/>
          <w:szCs w:val="24"/>
        </w:rPr>
        <w:t xml:space="preserve"> 10 </w:t>
      </w:r>
      <w:r>
        <w:rPr>
          <w:bCs/>
          <w:szCs w:val="24"/>
        </w:rPr>
        <w:t xml:space="preserve">кВ</w:t>
      </w:r>
      <w:r>
        <w:rPr>
          <w:bCs/>
          <w:szCs w:val="24"/>
        </w:rPr>
      </w:r>
    </w:p>
    <w:p>
      <w:pPr>
        <w:pStyle w:val="884"/>
        <w:ind w:firstLine="0"/>
        <w:jc w:val="center"/>
        <w:rPr>
          <w:bCs/>
          <w:szCs w:val="24"/>
        </w:rPr>
      </w:pPr>
      <w:r>
        <w:rPr>
          <w:bCs/>
          <w:szCs w:val="24"/>
        </w:rPr>
      </w:r>
      <w:r>
        <w:rPr>
          <w:bCs/>
          <w:szCs w:val="24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535"/>
        <w:gridCol w:w="2159"/>
        <w:gridCol w:w="1945"/>
      </w:tblGrid>
      <w:tr>
        <w:tblPrEx/>
        <w:trPr>
          <w:trHeight w:val="68"/>
        </w:trPr>
        <w:tc>
          <w:tcPr>
            <w:shd w:val="clear" w:color="auto" w:fill="auto"/>
            <w:tcW w:w="2870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Участок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  <w:t xml:space="preserve">объекта</w:t>
            </w:r>
            <w:r>
              <w:rPr>
                <w:bCs/>
                <w:lang w:val="en-US" w:bidi="en-US"/>
              </w:rPr>
            </w:r>
          </w:p>
        </w:tc>
        <w:tc>
          <w:tcPr>
            <w:shd w:val="clear" w:color="auto" w:fill="auto"/>
            <w:tcW w:w="1120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Ед</w:t>
            </w:r>
            <w:r>
              <w:rPr>
                <w:bCs/>
                <w:lang w:bidi="en-US"/>
              </w:rPr>
              <w:t xml:space="preserve">иница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  <w:t xml:space="preserve">измерения</w:t>
            </w:r>
            <w:r>
              <w:rPr>
                <w:bCs/>
                <w:lang w:val="en-US" w:bidi="en-US"/>
              </w:rPr>
            </w:r>
          </w:p>
        </w:tc>
        <w:tc>
          <w:tcPr>
            <w:shd w:val="clear" w:color="auto" w:fill="auto"/>
            <w:tcW w:w="1009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Количество</w:t>
            </w:r>
            <w:r>
              <w:rPr>
                <w:bCs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2870" w:type="pct"/>
            <w:textDirection w:val="lrTb"/>
            <w:noWrap w:val="false"/>
          </w:tcPr>
          <w:p>
            <w:pPr>
              <w:shd w:val="clear" w:color="auto" w:fill="ffffff"/>
              <w:rPr>
                <w:lang w:bidi="en-US"/>
              </w:rPr>
            </w:pPr>
            <w:r>
              <w:rPr>
                <w:lang w:bidi="en-US"/>
              </w:rPr>
              <w:t xml:space="preserve">ВЛ</w:t>
            </w:r>
            <w:r>
              <w:rPr>
                <w:lang w:bidi="en-US"/>
              </w:rPr>
              <w:t xml:space="preserve"> 10 </w:t>
            </w:r>
            <w:r>
              <w:rPr>
                <w:lang w:bidi="en-US"/>
              </w:rPr>
              <w:t xml:space="preserve">кВ</w:t>
            </w:r>
            <w:r>
              <w:rPr>
                <w:lang w:bidi="en-US"/>
              </w:rPr>
              <w:t xml:space="preserve"> к кусту скважин № 40, в том числе:</w:t>
            </w:r>
            <w:r>
              <w:rPr>
                <w:lang w:bidi="en-US"/>
              </w:rPr>
            </w:r>
          </w:p>
          <w:p>
            <w:pPr>
              <w:shd w:val="clear" w:color="auto" w:fill="ffffff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линия</w:t>
            </w:r>
            <w:r>
              <w:rPr>
                <w:lang w:val="en-US" w:bidi="en-US"/>
              </w:rPr>
              <w:t xml:space="preserve"> №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1.1</w:t>
            </w:r>
            <w:r>
              <w:rPr>
                <w:lang w:val="en-US" w:bidi="en-US"/>
              </w:rPr>
            </w:r>
          </w:p>
          <w:p>
            <w:pPr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линия</w:t>
            </w:r>
            <w:r>
              <w:rPr>
                <w:lang w:val="en-US" w:bidi="en-US"/>
              </w:rPr>
              <w:t xml:space="preserve"> №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1.2</w:t>
            </w:r>
            <w:r>
              <w:rPr>
                <w:lang w:val="en-US" w:bidi="en-US"/>
              </w:rPr>
            </w:r>
          </w:p>
          <w:p>
            <w:pPr>
              <w:shd w:val="clear" w:color="auto" w:fill="ffffff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линия</w:t>
            </w:r>
            <w:r>
              <w:rPr>
                <w:lang w:val="en-US" w:bidi="en-US"/>
              </w:rPr>
              <w:t xml:space="preserve"> №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2.1</w:t>
            </w:r>
            <w:r>
              <w:rPr>
                <w:lang w:val="en-US" w:bidi="en-US"/>
              </w:rPr>
            </w:r>
          </w:p>
          <w:p>
            <w:pPr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линия</w:t>
            </w:r>
            <w:r>
              <w:rPr>
                <w:lang w:val="en-US" w:bidi="en-US"/>
              </w:rPr>
              <w:t xml:space="preserve"> №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2.2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1120" w:type="pct"/>
            <w:textDirection w:val="lrTb"/>
            <w:noWrap w:val="false"/>
          </w:tcPr>
          <w:p>
            <w:pPr>
              <w:pStyle w:val="873"/>
              <w:spacing w:after="0" w:line="240" w:lineRule="auto"/>
              <w:tabs>
                <w:tab w:val="left" w:pos="2263" w:leader="none"/>
              </w:tabs>
              <w:rPr>
                <w:lang w:val="en-US" w:bidi="en-US"/>
              </w:rPr>
            </w:pPr>
            <w:r>
              <w:rPr>
                <w:lang w:val="en-US" w:bidi="en-US"/>
              </w:rPr>
            </w:r>
            <w:r>
              <w:rPr>
                <w:lang w:val="en-US" w:bidi="en-US"/>
              </w:rPr>
            </w:r>
          </w:p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lang w:val="en-US" w:bidi="en-US"/>
              </w:rPr>
            </w:r>
          </w:p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lang w:val="en-US" w:bidi="en-US"/>
              </w:rPr>
            </w:r>
          </w:p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lang w:val="en-US" w:bidi="en-US"/>
              </w:rPr>
            </w:r>
          </w:p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1009" w:type="pct"/>
            <w:textDirection w:val="lrTb"/>
            <w:noWrap w:val="false"/>
          </w:tcPr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rFonts w:eastAsia="Arial Unicode MS"/>
                <w:szCs w:val="20"/>
                <w:lang w:val="en-US" w:bidi="en-US"/>
              </w:rPr>
            </w:pPr>
            <w:r>
              <w:rPr>
                <w:rFonts w:eastAsia="Arial Unicode MS"/>
                <w:szCs w:val="20"/>
                <w:lang w:val="en-US" w:bidi="en-US"/>
              </w:rPr>
            </w:r>
            <w:r>
              <w:rPr>
                <w:rFonts w:eastAsia="Arial Unicode MS"/>
                <w:szCs w:val="20"/>
                <w:lang w:val="en-US" w:bidi="en-US"/>
              </w:rPr>
            </w:r>
          </w:p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rFonts w:eastAsia="Arial Unicode MS"/>
                <w:szCs w:val="20"/>
                <w:lang w:val="en-US" w:bidi="en-US"/>
              </w:rPr>
            </w:pPr>
            <w:r>
              <w:rPr>
                <w:rFonts w:eastAsia="Arial Unicode MS"/>
                <w:szCs w:val="20"/>
                <w:lang w:val="en-US" w:bidi="en-US"/>
              </w:rPr>
              <w:t xml:space="preserve">2</w:t>
            </w:r>
            <w:r>
              <w:rPr>
                <w:rFonts w:eastAsia="Arial Unicode MS"/>
                <w:szCs w:val="20"/>
                <w:lang w:bidi="en-US"/>
              </w:rPr>
              <w:t xml:space="preserve"> </w:t>
            </w:r>
            <w:r>
              <w:rPr>
                <w:rFonts w:eastAsia="Arial Unicode MS"/>
                <w:szCs w:val="20"/>
                <w:lang w:val="en-US" w:bidi="en-US"/>
              </w:rPr>
              <w:t xml:space="preserve">626</w:t>
            </w:r>
            <w:r>
              <w:rPr>
                <w:rFonts w:eastAsia="Arial Unicode MS"/>
                <w:szCs w:val="20"/>
                <w:lang w:val="en-US" w:bidi="en-US"/>
              </w:rPr>
            </w:r>
          </w:p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rFonts w:eastAsia="Arial Unicode MS"/>
                <w:szCs w:val="20"/>
                <w:lang w:val="en-US" w:bidi="en-US"/>
              </w:rPr>
            </w:pPr>
            <w:r>
              <w:rPr>
                <w:rFonts w:eastAsia="Arial Unicode MS"/>
                <w:szCs w:val="20"/>
                <w:lang w:val="en-US" w:bidi="en-US"/>
              </w:rPr>
              <w:t xml:space="preserve">2</w:t>
            </w:r>
            <w:r>
              <w:rPr>
                <w:rFonts w:eastAsia="Arial Unicode MS"/>
                <w:szCs w:val="20"/>
                <w:lang w:bidi="en-US"/>
              </w:rPr>
              <w:t xml:space="preserve"> </w:t>
            </w:r>
            <w:r>
              <w:rPr>
                <w:rFonts w:eastAsia="Arial Unicode MS"/>
                <w:szCs w:val="20"/>
                <w:lang w:val="en-US" w:bidi="en-US"/>
              </w:rPr>
              <w:t xml:space="preserve">619</w:t>
            </w:r>
            <w:r>
              <w:rPr>
                <w:rFonts w:eastAsia="Arial Unicode MS"/>
                <w:szCs w:val="20"/>
                <w:lang w:val="en-US" w:bidi="en-US"/>
              </w:rPr>
            </w:r>
          </w:p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rFonts w:eastAsia="Arial Unicode MS"/>
                <w:szCs w:val="20"/>
                <w:lang w:val="en-US" w:bidi="en-US"/>
              </w:rPr>
            </w:pPr>
            <w:r>
              <w:rPr>
                <w:rFonts w:eastAsia="Arial Unicode MS"/>
                <w:szCs w:val="20"/>
                <w:lang w:val="en-US" w:bidi="en-US"/>
              </w:rPr>
              <w:t xml:space="preserve">47</w:t>
            </w:r>
            <w:r>
              <w:rPr>
                <w:rFonts w:eastAsia="Arial Unicode MS"/>
                <w:szCs w:val="20"/>
                <w:lang w:val="en-US" w:bidi="en-US"/>
              </w:rPr>
            </w:r>
          </w:p>
          <w:p>
            <w:pPr>
              <w:pStyle w:val="873"/>
              <w:jc w:val="center"/>
              <w:spacing w:after="0" w:line="240" w:lineRule="auto"/>
              <w:tabs>
                <w:tab w:val="left" w:pos="2263" w:leader="none"/>
              </w:tabs>
              <w:rPr>
                <w:rFonts w:eastAsia="Arial Unicode MS"/>
                <w:szCs w:val="20"/>
                <w:lang w:val="en-US" w:bidi="en-US"/>
              </w:rPr>
            </w:pPr>
            <w:r>
              <w:rPr>
                <w:rFonts w:eastAsia="Arial Unicode MS"/>
                <w:szCs w:val="20"/>
                <w:lang w:val="en-US" w:bidi="en-US"/>
              </w:rPr>
              <w:t xml:space="preserve">59</w:t>
            </w:r>
            <w:r>
              <w:rPr>
                <w:rFonts w:eastAsia="Arial Unicode MS"/>
                <w:szCs w:val="20"/>
                <w:lang w:val="en-US" w:bidi="en-US"/>
              </w:rPr>
            </w:r>
          </w:p>
        </w:tc>
      </w:tr>
    </w:tbl>
    <w:p>
      <w:pPr>
        <w:pStyle w:val="956"/>
      </w:pPr>
      <w:r/>
      <w:r/>
    </w:p>
    <w:p>
      <w:pPr>
        <w:pStyle w:val="956"/>
        <w:jc w:val="center"/>
      </w:pPr>
      <w:r>
        <w:t xml:space="preserve">Проектируемые подъездные автодороги</w:t>
      </w:r>
      <w:bookmarkEnd w:id="13"/>
      <w:r/>
      <w:bookmarkEnd w:id="14"/>
      <w:r/>
      <w:r/>
    </w:p>
    <w:p>
      <w:pPr>
        <w:pStyle w:val="956"/>
      </w:pPr>
      <w:r/>
      <w:r/>
    </w:p>
    <w:p>
      <w:pPr>
        <w:ind w:firstLine="709"/>
        <w:spacing w:line="360" w:lineRule="auto"/>
        <w:rPr>
          <w:bCs/>
        </w:rPr>
      </w:pPr>
      <w:r>
        <w:rPr>
          <w:bCs/>
        </w:rPr>
        <w:t xml:space="preserve">Параметры проектируемых подъездных автодорог</w:t>
      </w:r>
      <w:r>
        <w:rPr>
          <w:b/>
        </w:rPr>
        <w:t xml:space="preserve"> </w:t>
      </w:r>
      <w:r>
        <w:rPr>
          <w:bCs/>
        </w:rPr>
        <w:t xml:space="preserve">приведены </w:t>
      </w:r>
      <w:r>
        <w:rPr>
          <w:bCs/>
        </w:rPr>
        <w:t xml:space="preserve">в таблице 3.</w:t>
      </w:r>
      <w:r>
        <w:rPr>
          <w:bCs/>
        </w:rPr>
      </w:r>
    </w:p>
    <w:p>
      <w:pPr>
        <w:pStyle w:val="884"/>
        <w:ind w:firstLine="0"/>
        <w:jc w:val="right"/>
        <w:spacing w:line="360" w:lineRule="auto"/>
        <w:rPr>
          <w:bCs/>
          <w:szCs w:val="24"/>
        </w:rPr>
      </w:pPr>
      <w:r/>
      <w:bookmarkStart w:id="15" w:name="_Toc23864340"/>
      <w:r/>
      <w:bookmarkStart w:id="16" w:name="_Toc34400641"/>
      <w:r>
        <w:rPr>
          <w:bCs/>
          <w:szCs w:val="24"/>
        </w:rPr>
        <w:t xml:space="preserve">Таблица 3 </w:t>
      </w:r>
      <w:r>
        <w:rPr>
          <w:bCs/>
          <w:szCs w:val="24"/>
        </w:rPr>
      </w:r>
    </w:p>
    <w:p>
      <w:pPr>
        <w:pStyle w:val="884"/>
        <w:ind w:firstLine="0"/>
        <w:jc w:val="center"/>
        <w:spacing w:line="360" w:lineRule="auto"/>
        <w:rPr>
          <w:bCs/>
          <w:szCs w:val="24"/>
        </w:rPr>
      </w:pPr>
      <w:r>
        <w:rPr>
          <w:bCs/>
          <w:szCs w:val="24"/>
        </w:rPr>
        <w:t xml:space="preserve">Параметры проектируемых подъездных автодорог</w:t>
      </w:r>
      <w:r>
        <w:rPr>
          <w:bCs/>
          <w:szCs w:val="24"/>
        </w:rPr>
      </w:r>
    </w:p>
    <w:p>
      <w:pPr>
        <w:pStyle w:val="884"/>
        <w:ind w:firstLine="0"/>
        <w:jc w:val="center"/>
        <w:spacing w:line="360" w:lineRule="auto"/>
        <w:rPr>
          <w:bCs/>
          <w:color w:val="ff0000"/>
          <w:szCs w:val="24"/>
        </w:rPr>
      </w:pPr>
      <w:r>
        <w:rPr>
          <w:bCs/>
          <w:color w:val="ff0000"/>
          <w:szCs w:val="24"/>
        </w:rPr>
      </w:r>
      <w:r>
        <w:rPr>
          <w:bCs/>
          <w:color w:val="ff0000"/>
          <w:szCs w:val="24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535"/>
        <w:gridCol w:w="2159"/>
        <w:gridCol w:w="1945"/>
      </w:tblGrid>
      <w:tr>
        <w:tblPrEx/>
        <w:trPr>
          <w:trHeight w:val="68"/>
        </w:trPr>
        <w:tc>
          <w:tcPr>
            <w:shd w:val="clear" w:color="auto" w:fill="auto"/>
            <w:tcW w:w="2870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Участок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  <w:t xml:space="preserve">объекта</w:t>
            </w:r>
            <w:r>
              <w:rPr>
                <w:bCs/>
                <w:lang w:val="en-US" w:bidi="en-US"/>
              </w:rPr>
            </w:r>
          </w:p>
        </w:tc>
        <w:tc>
          <w:tcPr>
            <w:shd w:val="clear" w:color="auto" w:fill="auto"/>
            <w:tcW w:w="1120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Ед</w:t>
            </w:r>
            <w:r>
              <w:rPr>
                <w:bCs/>
                <w:lang w:val="en-US" w:bidi="en-US"/>
              </w:rPr>
              <w:t xml:space="preserve">иница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  <w:t xml:space="preserve">измерения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</w:r>
          </w:p>
        </w:tc>
        <w:tc>
          <w:tcPr>
            <w:shd w:val="clear" w:color="auto" w:fill="auto"/>
            <w:tcW w:w="1009" w:type="pct"/>
            <w:textDirection w:val="lrTb"/>
            <w:noWrap w:val="false"/>
          </w:tcPr>
          <w:p>
            <w:pPr>
              <w:jc w:val="center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Количество</w:t>
            </w:r>
            <w:r>
              <w:rPr>
                <w:bCs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2870" w:type="pct"/>
            <w:textDirection w:val="lrTb"/>
            <w:noWrap w:val="false"/>
          </w:tcPr>
          <w:p>
            <w:pPr>
              <w:rPr>
                <w:lang w:bidi="en-US"/>
              </w:rPr>
            </w:pPr>
            <w:r>
              <w:rPr>
                <w:lang w:bidi="en-US"/>
              </w:rPr>
              <w:t xml:space="preserve">Подъездная автодорога на ку</w:t>
            </w:r>
            <w:r>
              <w:rPr>
                <w:lang w:bidi="en-US"/>
              </w:rPr>
              <w:t xml:space="preserve">ст скв</w:t>
            </w:r>
            <w:r>
              <w:rPr>
                <w:lang w:bidi="en-US"/>
              </w:rPr>
              <w:t xml:space="preserve">ажин № 40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1120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1009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2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692</w:t>
            </w:r>
            <w:r>
              <w:rPr>
                <w:lang w:val="en-US" w:bidi="en-US"/>
              </w:rPr>
            </w:r>
          </w:p>
        </w:tc>
      </w:tr>
    </w:tbl>
    <w:p>
      <w:pPr>
        <w:pStyle w:val="956"/>
      </w:pPr>
      <w:r/>
      <w:r/>
    </w:p>
    <w:p>
      <w:pPr>
        <w:pStyle w:val="956"/>
        <w:jc w:val="center"/>
      </w:pPr>
      <w:r>
        <w:t xml:space="preserve">Проектируемые площадные объекты</w:t>
      </w:r>
      <w:bookmarkEnd w:id="8"/>
      <w:r/>
      <w:bookmarkEnd w:id="15"/>
      <w:r/>
      <w:bookmarkEnd w:id="16"/>
      <w:r/>
      <w:r/>
    </w:p>
    <w:p>
      <w:pPr>
        <w:pStyle w:val="956"/>
      </w:pPr>
      <w:r/>
      <w:r/>
    </w:p>
    <w:p>
      <w:pPr>
        <w:ind w:firstLine="709"/>
        <w:spacing w:line="360" w:lineRule="auto"/>
        <w:rPr>
          <w:bCs/>
        </w:rPr>
      </w:pPr>
      <w:r>
        <w:rPr>
          <w:bCs/>
        </w:rPr>
        <w:t xml:space="preserve">Список </w:t>
      </w:r>
      <w:r>
        <w:rPr>
          <w:bCs/>
        </w:rPr>
        <w:t xml:space="preserve">проектируемых</w:t>
      </w:r>
      <w:r>
        <w:rPr>
          <w:bCs/>
        </w:rPr>
        <w:t xml:space="preserve"> площадных объектов приведен в таблице 4.</w:t>
      </w:r>
      <w:r>
        <w:rPr>
          <w:bCs/>
        </w:rPr>
      </w:r>
    </w:p>
    <w:p>
      <w:pPr>
        <w:pStyle w:val="884"/>
        <w:ind w:firstLine="0"/>
        <w:jc w:val="right"/>
        <w:rPr>
          <w:bCs/>
          <w:szCs w:val="24"/>
        </w:rPr>
      </w:pPr>
      <w:r>
        <w:rPr>
          <w:bCs/>
          <w:szCs w:val="24"/>
        </w:rPr>
        <w:t xml:space="preserve">Таблица 4</w:t>
      </w:r>
      <w:r>
        <w:rPr>
          <w:bCs/>
          <w:szCs w:val="24"/>
        </w:rPr>
      </w:r>
    </w:p>
    <w:p>
      <w:pPr>
        <w:pStyle w:val="884"/>
        <w:ind w:firstLine="0"/>
        <w:jc w:val="right"/>
        <w:rPr>
          <w:bCs/>
          <w:szCs w:val="24"/>
        </w:rPr>
      </w:pPr>
      <w:r>
        <w:rPr>
          <w:bCs/>
          <w:szCs w:val="24"/>
        </w:rPr>
        <w:t xml:space="preserve"> </w:t>
      </w:r>
      <w:r>
        <w:rPr>
          <w:bCs/>
          <w:szCs w:val="24"/>
        </w:rPr>
      </w:r>
    </w:p>
    <w:p>
      <w:pPr>
        <w:pStyle w:val="884"/>
        <w:ind w:firstLine="0"/>
        <w:jc w:val="center"/>
        <w:rPr>
          <w:bCs/>
          <w:szCs w:val="24"/>
        </w:rPr>
      </w:pPr>
      <w:r>
        <w:rPr>
          <w:bCs/>
          <w:szCs w:val="24"/>
        </w:rPr>
        <w:t xml:space="preserve">Проектируемые площадные объекты</w:t>
      </w:r>
      <w:r>
        <w:rPr>
          <w:bCs/>
          <w:szCs w:val="24"/>
        </w:rPr>
      </w:r>
    </w:p>
    <w:p>
      <w:pPr>
        <w:pStyle w:val="884"/>
        <w:ind w:firstLine="0"/>
        <w:jc w:val="center"/>
        <w:rPr>
          <w:bCs/>
          <w:szCs w:val="24"/>
        </w:rPr>
      </w:pPr>
      <w:r>
        <w:rPr>
          <w:bCs/>
          <w:szCs w:val="24"/>
        </w:rPr>
      </w:r>
      <w:r>
        <w:rPr>
          <w:bCs/>
          <w:szCs w:val="24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7603"/>
        <w:gridCol w:w="2036"/>
      </w:tblGrid>
      <w:tr>
        <w:tblPrEx/>
        <w:trPr>
          <w:trHeight w:val="68"/>
        </w:trPr>
        <w:tc>
          <w:tcPr>
            <w:shd w:val="clear" w:color="auto" w:fill="auto"/>
            <w:tcW w:w="3944" w:type="pct"/>
            <w:textDirection w:val="lrTb"/>
            <w:noWrap w:val="false"/>
          </w:tcPr>
          <w:p>
            <w:pPr>
              <w:jc w:val="center"/>
              <w:spacing w:line="360" w:lineRule="auto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Наименование</w:t>
            </w:r>
            <w:r>
              <w:rPr>
                <w:bCs/>
                <w:lang w:val="en-US" w:bidi="en-US"/>
              </w:rPr>
              <w:t xml:space="preserve"> </w:t>
            </w:r>
            <w:r>
              <w:rPr>
                <w:bCs/>
                <w:lang w:val="en-US" w:bidi="en-US"/>
              </w:rPr>
              <w:t xml:space="preserve">объекта</w:t>
            </w:r>
            <w:r>
              <w:rPr>
                <w:bCs/>
                <w:lang w:val="en-US" w:bidi="en-US"/>
              </w:rPr>
            </w:r>
          </w:p>
        </w:tc>
        <w:tc>
          <w:tcPr>
            <w:shd w:val="clear" w:color="auto" w:fill="auto"/>
            <w:tcW w:w="1056" w:type="pct"/>
            <w:textDirection w:val="lrTb"/>
            <w:noWrap w:val="false"/>
          </w:tcPr>
          <w:p>
            <w:pPr>
              <w:jc w:val="center"/>
              <w:spacing w:line="360" w:lineRule="auto"/>
              <w:rPr>
                <w:bCs/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Количество, </w:t>
            </w:r>
            <w:r>
              <w:rPr>
                <w:bCs/>
                <w:lang w:val="en-US" w:bidi="en-US"/>
              </w:rPr>
              <w:t xml:space="preserve">шт</w:t>
            </w:r>
            <w:r>
              <w:rPr>
                <w:bCs/>
                <w:lang w:val="en-US" w:bidi="en-US"/>
              </w:rPr>
              <w:t xml:space="preserve">.</w:t>
            </w:r>
            <w:r>
              <w:rPr>
                <w:bCs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3944" w:type="pct"/>
            <w:textDirection w:val="lrTb"/>
            <w:noWrap w:val="false"/>
          </w:tcPr>
          <w:p>
            <w:pPr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Куст</w:t>
            </w:r>
            <w:r>
              <w:rPr>
                <w:lang w:val="en-US" w:bidi="en-US"/>
              </w:rPr>
              <w:t xml:space="preserve"> </w:t>
            </w:r>
            <w:r>
              <w:rPr>
                <w:lang w:val="en-US" w:bidi="en-US"/>
              </w:rPr>
              <w:t xml:space="preserve">скважин</w:t>
            </w:r>
            <w:r>
              <w:rPr>
                <w:lang w:val="en-US" w:bidi="en-US"/>
              </w:rPr>
              <w:t xml:space="preserve"> № 40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1056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1</w:t>
            </w:r>
            <w:r>
              <w:rPr>
                <w:lang w:val="en-US" w:bidi="en-US"/>
              </w:rPr>
            </w:r>
          </w:p>
        </w:tc>
      </w:tr>
    </w:tbl>
    <w:p>
      <w:pPr>
        <w:contextualSpacing/>
      </w:pPr>
      <w:r/>
      <w:r/>
    </w:p>
    <w:p>
      <w:pPr>
        <w:contextualSpacing/>
        <w:ind w:firstLine="709"/>
        <w:jc w:val="both"/>
        <w:rPr>
          <w:highlight w:val="yellow"/>
        </w:rPr>
      </w:pPr>
      <w:r>
        <w:t xml:space="preserve">В соответствии с требованиями Градостроительного кодекса </w:t>
      </w:r>
      <w:r>
        <w:t xml:space="preserve">Российской Федерации</w:t>
      </w:r>
      <w:r>
        <w:t xml:space="preserve">, для данных объектов требуется получение ГПЗУ в установленном законодательством порядке (при необходимости).</w:t>
      </w:r>
      <w:r>
        <w:rPr>
          <w:highlight w:val="yellow"/>
        </w:rPr>
      </w:r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/>
      <w:bookmarkStart w:id="17" w:name="_Toc34400642"/>
      <w:r>
        <w:rPr>
          <w:sz w:val="24"/>
        </w:rPr>
        <w:t xml:space="preserve">1.2.2. </w:t>
      </w:r>
      <w:r>
        <w:rPr>
          <w:sz w:val="24"/>
        </w:rPr>
        <w:t xml:space="preserve">Перечень субъектов Российской Федерации, перечень муниципаль</w:t>
      </w:r>
      <w:r>
        <w:rPr>
          <w:sz w:val="24"/>
        </w:rPr>
        <w:t xml:space="preserve">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9"/>
      <w:r/>
      <w:bookmarkEnd w:id="10"/>
      <w:r/>
      <w:bookmarkEnd w:id="17"/>
      <w:r/>
      <w:r>
        <w:rPr>
          <w:sz w:val="24"/>
        </w:rPr>
      </w:r>
    </w:p>
    <w:p>
      <w:pPr>
        <w:pStyle w:val="886"/>
        <w:contextualSpacing/>
      </w:pPr>
      <w:r/>
      <w:bookmarkStart w:id="18" w:name="_Toc508897807"/>
      <w:r/>
      <w:bookmarkStart w:id="19" w:name="_Toc485720803"/>
      <w:r/>
      <w:bookmarkStart w:id="20" w:name="_Toc491165233"/>
      <w:r>
        <w:rPr>
          <w:lang w:eastAsia="en-US" w:bidi="en-US"/>
        </w:rPr>
        <w:t xml:space="preserve">В административном отношении проектируемый участок расположен </w:t>
      </w:r>
      <w:r>
        <w:rPr>
          <w:lang w:eastAsia="en-US" w:bidi="en-US"/>
        </w:rPr>
        <w:t xml:space="preserve">в</w:t>
      </w:r>
      <w:r>
        <w:rPr>
          <w:lang w:eastAsia="en-US" w:bidi="en-US"/>
        </w:rPr>
        <w:t xml:space="preserve"> </w:t>
      </w:r>
      <w:r>
        <w:rPr>
          <w:lang w:eastAsia="en-US" w:bidi="en-US"/>
        </w:rPr>
        <w:t xml:space="preserve">Ханты-Мансийск</w:t>
      </w:r>
      <w:r>
        <w:rPr>
          <w:lang w:eastAsia="en-US" w:bidi="en-US"/>
        </w:rPr>
        <w:t xml:space="preserve">ом</w:t>
      </w:r>
      <w:r>
        <w:rPr>
          <w:lang w:eastAsia="en-US" w:bidi="en-US"/>
        </w:rPr>
        <w:t xml:space="preserve"> автономном</w:t>
      </w:r>
      <w:r>
        <w:rPr>
          <w:lang w:eastAsia="en-US" w:bidi="en-US"/>
        </w:rPr>
        <w:t xml:space="preserve"> округ</w:t>
      </w:r>
      <w:r>
        <w:rPr>
          <w:lang w:eastAsia="en-US" w:bidi="en-US"/>
        </w:rPr>
        <w:t xml:space="preserve">е</w:t>
      </w:r>
      <w:r>
        <w:rPr>
          <w:lang w:eastAsia="en-US" w:bidi="en-US"/>
        </w:rPr>
        <w:t xml:space="preserve"> – Югр</w:t>
      </w:r>
      <w:r>
        <w:rPr>
          <w:lang w:eastAsia="en-US" w:bidi="en-US"/>
        </w:rPr>
        <w:t xml:space="preserve">е</w:t>
      </w:r>
      <w:r>
        <w:rPr>
          <w:lang w:eastAsia="en-US" w:bidi="en-US"/>
        </w:rPr>
        <w:t xml:space="preserve">, Кондинский район, Кондинское лесничество, </w:t>
      </w:r>
      <w:r>
        <w:rPr>
          <w:lang w:eastAsia="en-US" w:bidi="en-US"/>
        </w:rPr>
        <w:t xml:space="preserve">Болчаровское</w:t>
      </w:r>
      <w:r>
        <w:rPr>
          <w:lang w:eastAsia="en-US" w:bidi="en-US"/>
        </w:rPr>
        <w:t xml:space="preserve"> участковое лесничество, </w:t>
      </w:r>
      <w:r>
        <w:rPr>
          <w:lang w:eastAsia="en-US" w:bidi="en-US"/>
        </w:rPr>
        <w:t xml:space="preserve">Болчаровское</w:t>
      </w:r>
      <w:r>
        <w:rPr>
          <w:lang w:eastAsia="en-US" w:bidi="en-US"/>
        </w:rPr>
        <w:t xml:space="preserve"> урочище</w:t>
      </w:r>
      <w:r>
        <w:t xml:space="preserve">.</w:t>
      </w:r>
      <w:r/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/>
      <w:bookmarkStart w:id="21" w:name="_Toc34400643"/>
      <w:r>
        <w:rPr>
          <w:sz w:val="24"/>
        </w:rPr>
        <w:t xml:space="preserve">1.2.3.</w:t>
      </w:r>
      <w:r>
        <w:t xml:space="preserve"> </w:t>
      </w:r>
      <w:r>
        <w:rPr>
          <w:sz w:val="24"/>
        </w:rPr>
        <w:t xml:space="preserve">Соответствие наименований и планируемого местоположения линейных объектов федерального, регионального или местного значения наименованию и планируемому местоположению линейных объектов федерального, регионального или местного значения</w:t>
      </w:r>
      <w:bookmarkEnd w:id="18"/>
      <w:r/>
      <w:bookmarkEnd w:id="21"/>
      <w:r/>
      <w:r>
        <w:rPr>
          <w:sz w:val="24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Линейные объекты федерального, регионального или местного значения на проектируемой территории </w:t>
      </w:r>
      <w:r>
        <w:rPr>
          <w:lang w:eastAsia="en-US" w:bidi="en-US"/>
        </w:rPr>
        <w:t xml:space="preserve">-</w:t>
      </w:r>
      <w:r>
        <w:rPr>
          <w:lang w:eastAsia="en-US" w:bidi="en-US"/>
        </w:rPr>
        <w:t xml:space="preserve"> отсутствуют.</w:t>
      </w:r>
      <w:r>
        <w:rPr>
          <w:lang w:eastAsia="en-US" w:bidi="en-US"/>
        </w:rPr>
      </w:r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/>
      <w:bookmarkStart w:id="22" w:name="_Toc34400644"/>
      <w:r>
        <w:rPr>
          <w:sz w:val="24"/>
        </w:rPr>
        <w:t xml:space="preserve">1.2.4. </w:t>
      </w:r>
      <w:r>
        <w:rPr>
          <w:sz w:val="24"/>
        </w:rPr>
        <w:t xml:space="preserve">Перечень </w:t>
      </w:r>
      <w:r>
        <w:rPr>
          <w:sz w:val="24"/>
        </w:rPr>
        <w:t xml:space="preserve">координат характерных точек границ зон планируемого размещения</w:t>
      </w:r>
      <w:r>
        <w:rPr>
          <w:sz w:val="24"/>
        </w:rPr>
        <w:t xml:space="preserve"> линейных объектов</w:t>
      </w:r>
      <w:bookmarkEnd w:id="19"/>
      <w:r/>
      <w:bookmarkEnd w:id="20"/>
      <w:r/>
      <w:bookmarkEnd w:id="22"/>
      <w:r/>
      <w:r>
        <w:rPr>
          <w:sz w:val="24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Перечень </w:t>
      </w:r>
      <w:r>
        <w:rPr>
          <w:lang w:eastAsia="en-US" w:bidi="en-US"/>
        </w:rPr>
        <w:t xml:space="preserve">координат характерных точек границ зон планируемого размещения</w:t>
      </w:r>
      <w:r>
        <w:rPr>
          <w:lang w:eastAsia="en-US" w:bidi="en-US"/>
        </w:rPr>
        <w:t xml:space="preserve"> линейных объектов приведен в таблице 5.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pStyle w:val="886"/>
        <w:contextualSpacing/>
        <w:jc w:val="right"/>
        <w:rPr>
          <w:lang w:eastAsia="en-US" w:bidi="en-US"/>
        </w:rPr>
      </w:pPr>
      <w:r>
        <w:rPr>
          <w:lang w:eastAsia="en-US" w:bidi="en-US"/>
        </w:rPr>
        <w:t xml:space="preserve">Таблица 5 </w:t>
      </w:r>
      <w:r>
        <w:rPr>
          <w:lang w:eastAsia="en-US" w:bidi="en-US"/>
        </w:rPr>
      </w:r>
    </w:p>
    <w:p>
      <w:pPr>
        <w:pStyle w:val="886"/>
        <w:contextualSpacing/>
        <w:jc w:val="right"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pStyle w:val="886"/>
        <w:contextualSpacing/>
        <w:jc w:val="center"/>
        <w:rPr>
          <w:lang w:eastAsia="en-US" w:bidi="en-US"/>
        </w:rPr>
      </w:pPr>
      <w:r>
        <w:rPr>
          <w:lang w:eastAsia="en-US" w:bidi="en-US"/>
        </w:rPr>
        <w:t xml:space="preserve">Перечень </w:t>
      </w:r>
      <w:r>
        <w:rPr>
          <w:lang w:eastAsia="en-US" w:bidi="en-US"/>
        </w:rPr>
        <w:t xml:space="preserve">координат характерных точек границ зон планируемого размещения</w:t>
      </w:r>
      <w:r>
        <w:rPr>
          <w:lang w:eastAsia="en-US" w:bidi="en-US"/>
        </w:rPr>
        <w:t xml:space="preserve"> линейных объектов</w:t>
      </w:r>
      <w:r>
        <w:rPr>
          <w:lang w:eastAsia="en-US" w:bidi="en-US"/>
        </w:rPr>
      </w:r>
    </w:p>
    <w:p>
      <w:pPr>
        <w:pStyle w:val="886"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jc w:val="center"/>
        <w:rPr>
          <w:color w:val="000000"/>
          <w:sz w:val="22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567" w:bottom="992" w:left="1701" w:header="709" w:footer="709" w:gutter="0"/>
          <w:cols w:num="1" w:sep="0" w:space="708" w:equalWidth="1"/>
          <w:docGrid w:linePitch="360"/>
          <w:titlePg/>
        </w:sectPr>
      </w:pPr>
      <w:r>
        <w:rPr>
          <w:color w:val="000000"/>
          <w:sz w:val="22"/>
        </w:rPr>
      </w:r>
      <w:r>
        <w:rPr>
          <w:color w:val="000000"/>
          <w:sz w:val="22"/>
        </w:rPr>
      </w:r>
    </w:p>
    <w:tbl>
      <w:tblPr>
        <w:tblW w:w="37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852"/>
        <w:gridCol w:w="1276"/>
        <w:gridCol w:w="1630"/>
      </w:tblGrid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№ точки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Х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У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W w:w="3758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Контур 1 (внешний)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/>
            <w:bookmarkStart w:id="23" w:name="RANGE!B3:D126"/>
            <w:r>
              <w:rPr>
                <w:color w:val="000000"/>
                <w:sz w:val="19"/>
                <w:szCs w:val="19"/>
              </w:rPr>
              <w:t xml:space="preserve">1</w:t>
            </w:r>
            <w:bookmarkEnd w:id="23"/>
            <w:r/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875613.07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2666288.87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875714.06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2666229.35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875685.34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2666180.62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875609.85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2666052.55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875492.64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2666121.63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875320.22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2665984.53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875272.56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2665946.63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875272.54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2665946.62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875245.22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2665924.89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875220.81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2665904.59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874834.84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2664857.76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874828.30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2664842.68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874828.30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2664842.67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874828.33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2664842.59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874763.21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2664692.54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874469.21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2664475.08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874438.19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2664452.14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874412.75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2664486.53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874403.66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2664478.04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874397.50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2664470.99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874391.95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2664463.47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874387.01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2664455.51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874382.65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2664446.99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874352.63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2664382.02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874347.23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2664371.58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874340.81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2664361.47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874333.51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2664351.97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874325.41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2664343.16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874316.56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2664335.09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874307.02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2664327.84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874297.07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2664321.05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874286.41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2664315.56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874275.43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2664311.31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874257.12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2664305.20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874293.00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2664204.18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874269.63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2664165.40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874008.16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2664073.17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873969.20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2664088.61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873922.08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2664222.17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873938.67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2664259.90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873997.90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2664280.77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873923.64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2664490.99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873965.89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2664573.71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874081.00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2664614.31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874120.86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2664583.46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874261.71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2664635.25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874416.86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2664569.51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874459.24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2664602.76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874544.24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2664669.97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874712.98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2664803.52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874790.96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2665015.96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874919.98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2665367.43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874921.09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2665370.45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875035.14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2665681.17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875047.88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2665715.87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875133.33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2665948.66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875158.62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2665968.93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875205.70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2666006.67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59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875205.75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2666006.71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875241.39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2666035.27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875241.40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2666035.26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875407.23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2666168.15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875407.23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2666168.20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875457.69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2666208.67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875486.13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2666256.75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875532.91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2666336.12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875581.26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2666307.62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875645.00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2666358.70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69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875650.00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2666362.71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875658.49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2666348.81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875668.18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2666332.92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875613.07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2666288.87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W w:w="3758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Контур 2 (внутренний)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874245.42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2664322.28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874268.23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2664330.34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874276.96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2664333.02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874283.10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2664335.62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874295.62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2664344.3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874303.74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2664350.47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874311.29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2664357.34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874318.19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2664364.85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874324.41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2664372.95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874329.87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2664381.56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874334.67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2664390.82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874364.67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2664455.75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874369.59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2664465.35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874375.37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2664474.69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874381.90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2664483.53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874389.14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2664491.82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874400.84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2664502.63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874382.03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2664528.07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874288.59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2664568.73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874166.35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2664520.61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874172.28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2664487.98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874169.22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2664463.81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874211.42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2664344.00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874229.81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2664339.09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72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874245.42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2664322.28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W w:w="3758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Контур 3 (внутренний)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874461.88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2664511.97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874735.60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2664714.39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874771.83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2664798.11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874762.17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2664779.15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874750.99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2664761.04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874738.38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2664743.90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874724.40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2664727.86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874709.15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2664713.01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874692.90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2664699.59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874459.05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2664522.02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874439.79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2664507.40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874445.44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2664499.81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96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874461.88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2664511.97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W w:w="3758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Контур 4 (внутренний)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874451.97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2664541.76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874680.48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2664715.27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874695.79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2664727.91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874709.86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2664741.62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112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874722.76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2664756.42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113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874734.41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2664772.24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114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874740.28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2664781.75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874523.50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2664609.81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116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874448.09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2664550.70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874422.15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2664530.35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118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874427.85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2664523.44</w:t>
            </w:r>
            <w:r>
              <w:rPr>
                <w:color w:val="000000"/>
                <w:sz w:val="19"/>
                <w:szCs w:val="19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W w:w="85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108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874451.97</w:t>
            </w:r>
            <w:r>
              <w:rPr>
                <w:color w:val="000000"/>
                <w:sz w:val="19"/>
                <w:szCs w:val="19"/>
              </w:rPr>
            </w:r>
          </w:p>
        </w:tc>
        <w:tc>
          <w:tcPr>
            <w:shd w:val="clear" w:color="auto" w:fill="auto"/>
            <w:tcW w:w="1630" w:type="dxa"/>
            <w:vAlign w:val="bottom"/>
            <w:textDirection w:val="lrTb"/>
            <w:noWrap/>
          </w:tcPr>
          <w:p>
            <w:pPr>
              <w:jc w:val="center"/>
              <w:tabs>
                <w:tab w:val="left" w:pos="1522" w:leader="none"/>
              </w:tabs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2664541.76</w:t>
            </w:r>
            <w:r>
              <w:rPr>
                <w:color w:val="000000"/>
                <w:sz w:val="19"/>
                <w:szCs w:val="19"/>
              </w:rPr>
            </w:r>
          </w:p>
        </w:tc>
      </w:tr>
    </w:tbl>
    <w:p>
      <w:pPr>
        <w:pStyle w:val="725"/>
        <w:contextualSpacing/>
        <w:jc w:val="both"/>
        <w:keepLines/>
        <w:spacing w:before="240" w:after="240"/>
        <w:tabs>
          <w:tab w:val="left" w:pos="1134" w:leader="none"/>
        </w:tabs>
        <w:sectPr>
          <w:footnotePr/>
          <w:endnotePr/>
          <w:type w:val="continuous"/>
          <w:pgSz w:w="11906" w:h="16838" w:orient="portrait"/>
          <w:pgMar w:top="1134" w:right="567" w:bottom="992" w:left="1701" w:header="709" w:footer="709" w:gutter="0"/>
          <w:cols w:num="2" w:sep="0" w:space="708" w:equalWidth="1"/>
          <w:docGrid w:linePitch="360"/>
        </w:sectPr>
      </w:pPr>
      <w:r/>
      <w:bookmarkStart w:id="24" w:name="_Toc34400645"/>
      <w:r/>
      <w:r/>
    </w:p>
    <w:p>
      <w:pPr>
        <w:pStyle w:val="725"/>
        <w:contextualSpacing/>
        <w:ind w:left="480"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1.2.</w:t>
      </w:r>
      <w:r>
        <w:rPr>
          <w:sz w:val="24"/>
        </w:rPr>
        <w:t xml:space="preserve">5</w:t>
      </w:r>
      <w:r>
        <w:rPr>
          <w:sz w:val="24"/>
        </w:rPr>
        <w:t xml:space="preserve">. </w:t>
      </w:r>
      <w:r>
        <w:rPr>
          <w:sz w:val="24"/>
        </w:rPr>
        <w:t xml:space="preserve">Перечень координат характерных точек устанавливаемых красных линий</w:t>
      </w:r>
      <w:bookmarkEnd w:id="24"/>
      <w:r/>
      <w:r>
        <w:rPr>
          <w:sz w:val="24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Территории общего пользования не предусмотрены. Красные линии не устанавливаются.</w:t>
      </w:r>
      <w:r>
        <w:rPr>
          <w:lang w:eastAsia="en-US" w:bidi="en-US"/>
        </w:rPr>
      </w:r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/>
      <w:bookmarkStart w:id="25" w:name="_Toc485720805"/>
      <w:r/>
      <w:bookmarkStart w:id="26" w:name="_Toc491165235"/>
      <w:r/>
      <w:bookmarkStart w:id="27" w:name="_Toc34400646"/>
      <w:r>
        <w:rPr>
          <w:sz w:val="24"/>
        </w:rPr>
        <w:t xml:space="preserve">1.2.</w:t>
      </w:r>
      <w:r>
        <w:rPr>
          <w:sz w:val="24"/>
        </w:rPr>
        <w:t xml:space="preserve">6</w:t>
      </w:r>
      <w:r>
        <w:rPr>
          <w:sz w:val="24"/>
        </w:rPr>
        <w:t xml:space="preserve">. </w:t>
      </w:r>
      <w:r>
        <w:rPr>
          <w:sz w:val="24"/>
        </w:rPr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25"/>
      <w:r/>
      <w:bookmarkEnd w:id="26"/>
      <w:r/>
      <w:bookmarkEnd w:id="27"/>
      <w:r/>
      <w:r>
        <w:rPr>
          <w:sz w:val="24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Параметры застройки территории в границах зон планируемого размещения объектов капитального строительства, входящих в состав линейных объектов, приведены в таблице 6.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pStyle w:val="886"/>
        <w:contextualSpacing/>
        <w:jc w:val="right"/>
        <w:rPr>
          <w:lang w:eastAsia="en-US" w:bidi="en-US"/>
        </w:rPr>
      </w:pPr>
      <w:r>
        <w:rPr>
          <w:lang w:eastAsia="en-US" w:bidi="en-US"/>
        </w:rPr>
        <w:t xml:space="preserve">Таблица 6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pStyle w:val="886"/>
        <w:contextualSpacing/>
        <w:jc w:val="center"/>
        <w:rPr>
          <w:lang w:eastAsia="en-US" w:bidi="en-US"/>
        </w:rPr>
      </w:pPr>
      <w:r>
        <w:rPr>
          <w:lang w:eastAsia="en-US" w:bidi="en-US"/>
        </w:rPr>
        <w:t xml:space="preserve">Параметры застройки территории в границах зон планируемого размещения объектов капитального строительства, входящих в состав линейных объектов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126"/>
        <w:gridCol w:w="1841"/>
      </w:tblGrid>
      <w:tr>
        <w:tblPrEx/>
        <w:trPr>
          <w:trHeight w:val="68"/>
        </w:trPr>
        <w:tc>
          <w:tcPr>
            <w:shd w:val="clear" w:color="auto" w:fill="auto"/>
            <w:tcW w:w="2941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Наименование</w:t>
            </w:r>
            <w:r>
              <w:rPr>
                <w:lang w:val="en-US" w:bidi="en-US"/>
              </w:rPr>
              <w:t xml:space="preserve"> </w:t>
            </w:r>
            <w:r>
              <w:rPr>
                <w:lang w:val="en-US" w:bidi="en-US"/>
              </w:rPr>
              <w:t xml:space="preserve">показателя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1103" w:type="pct"/>
            <w:textDirection w:val="lrTb"/>
            <w:noWrap w:val="false"/>
          </w:tcPr>
          <w:p>
            <w:pPr>
              <w:jc w:val="center"/>
              <w:rPr>
                <w:lang w:bidi="en-US"/>
              </w:rPr>
            </w:pPr>
            <w:r>
              <w:rPr>
                <w:lang w:val="en-US" w:bidi="en-US"/>
              </w:rPr>
              <w:t xml:space="preserve">Ед</w:t>
            </w:r>
            <w:r>
              <w:rPr>
                <w:lang w:bidi="en-US"/>
              </w:rPr>
              <w:t xml:space="preserve">иница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изм</w:t>
            </w:r>
            <w:r>
              <w:rPr>
                <w:lang w:bidi="en-US"/>
              </w:rPr>
              <w:t xml:space="preserve">ерения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Количество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2941" w:type="pct"/>
            <w:textDirection w:val="lrTb"/>
            <w:noWrap w:val="false"/>
          </w:tcPr>
          <w:p>
            <w:pPr>
              <w:spacing w:line="360" w:lineRule="auto"/>
              <w:rPr>
                <w:lang w:bidi="en-US"/>
              </w:rPr>
            </w:pPr>
            <w:r>
              <w:rPr>
                <w:lang w:bidi="en-US"/>
              </w:rPr>
              <w:t xml:space="preserve">Ку</w:t>
            </w:r>
            <w:r>
              <w:rPr>
                <w:lang w:bidi="en-US"/>
              </w:rPr>
              <w:t xml:space="preserve">ст скв</w:t>
            </w:r>
            <w:r>
              <w:rPr>
                <w:lang w:bidi="en-US"/>
              </w:rPr>
              <w:t xml:space="preserve">ажин № 40, всего, в том числе: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1103" w:type="pct"/>
            <w:textDirection w:val="lrTb"/>
            <w:noWrap w:val="false"/>
          </w:tcPr>
          <w:p>
            <w:pPr>
              <w:jc w:val="center"/>
              <w:spacing w:line="360" w:lineRule="auto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vertAlign w:val="superscript"/>
                <w:lang w:val="en-US" w:bidi="en-US"/>
              </w:rPr>
              <w:t xml:space="preserve">2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 w:val="false"/>
          </w:tcPr>
          <w:p>
            <w:pPr>
              <w:jc w:val="center"/>
              <w:spacing w:line="360" w:lineRule="auto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77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887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2941" w:type="pct"/>
            <w:textDirection w:val="lrTb"/>
            <w:noWrap w:val="false"/>
          </w:tcPr>
          <w:p>
            <w:pPr>
              <w:spacing w:line="360" w:lineRule="auto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Обустройство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1103" w:type="pct"/>
            <w:textDirection w:val="lrTb"/>
            <w:noWrap w:val="false"/>
          </w:tcPr>
          <w:p>
            <w:pPr>
              <w:jc w:val="center"/>
              <w:spacing w:line="360" w:lineRule="auto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vertAlign w:val="superscript"/>
                <w:lang w:val="en-US" w:bidi="en-US"/>
              </w:rPr>
              <w:t xml:space="preserve">2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 w:val="false"/>
          </w:tcPr>
          <w:p>
            <w:pPr>
              <w:jc w:val="center"/>
              <w:spacing w:line="360" w:lineRule="auto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37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566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2941" w:type="pct"/>
            <w:textDirection w:val="lrTb"/>
            <w:noWrap w:val="false"/>
          </w:tcPr>
          <w:p>
            <w:pPr>
              <w:spacing w:line="360" w:lineRule="auto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Бурение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1103" w:type="pct"/>
            <w:textDirection w:val="lrTb"/>
            <w:noWrap w:val="false"/>
          </w:tcPr>
          <w:p>
            <w:pPr>
              <w:jc w:val="center"/>
              <w:spacing w:line="360" w:lineRule="auto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м</w:t>
            </w:r>
            <w:r>
              <w:rPr>
                <w:vertAlign w:val="superscript"/>
                <w:lang w:val="en-US" w:bidi="en-US"/>
              </w:rPr>
              <w:t xml:space="preserve">2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 w:val="false"/>
          </w:tcPr>
          <w:p>
            <w:pPr>
              <w:jc w:val="center"/>
              <w:spacing w:line="360" w:lineRule="auto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40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321</w:t>
            </w:r>
            <w:r>
              <w:rPr>
                <w:lang w:val="en-US" w:bidi="en-US"/>
              </w:rPr>
            </w:r>
          </w:p>
        </w:tc>
      </w:tr>
    </w:tbl>
    <w:p>
      <w:r/>
      <w:r/>
    </w:p>
    <w:p>
      <w:pPr>
        <w:pStyle w:val="725"/>
        <w:contextualSpacing/>
        <w:jc w:val="center"/>
        <w:keepLines/>
        <w:tabs>
          <w:tab w:val="left" w:pos="0" w:leader="none"/>
        </w:tabs>
        <w:rPr>
          <w:sz w:val="24"/>
        </w:rPr>
      </w:pPr>
      <w:r/>
      <w:bookmarkStart w:id="28" w:name="_Toc34400647"/>
      <w:r>
        <w:rPr>
          <w:sz w:val="24"/>
        </w:rPr>
        <w:t xml:space="preserve">1</w:t>
      </w:r>
      <w:r>
        <w:rPr>
          <w:sz w:val="24"/>
        </w:rPr>
        <w:t xml:space="preserve">.</w:t>
      </w:r>
      <w:r>
        <w:rPr>
          <w:sz w:val="24"/>
        </w:rPr>
        <w:t xml:space="preserve">2.7. </w:t>
      </w:r>
      <w:r>
        <w:rPr>
          <w:sz w:val="24"/>
        </w:rPr>
        <w:t xml:space="preserve">Требования к </w:t>
      </w:r>
      <w:r>
        <w:rPr>
          <w:sz w:val="24"/>
        </w:rPr>
        <w:t xml:space="preserve">архитектурным решениям</w:t>
      </w:r>
      <w:r>
        <w:rPr>
          <w:sz w:val="24"/>
        </w:rPr>
        <w:t xml:space="preserve"> объектов капитального строительства, входящих в состав линейных объектов</w:t>
      </w:r>
      <w:bookmarkEnd w:id="28"/>
      <w:r/>
      <w:r>
        <w:rPr>
          <w:sz w:val="24"/>
        </w:rPr>
      </w:r>
    </w:p>
    <w:p>
      <w:r/>
      <w:r/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Архитектурные и цветовые решения объектов капитального ст</w:t>
      </w:r>
      <w:r>
        <w:rPr>
          <w:lang w:eastAsia="en-US" w:bidi="en-US"/>
        </w:rPr>
        <w:t xml:space="preserve">роительства, входящих в состав линейных объектов необходимо выполнять в соответствии с Методическими указаниями Компании «Применение фирменного стиля ОАО «НК «Роснефть» при оформлении производственных объектов в дочерних обществах ОАО «НК «Роснефть» блока </w:t>
      </w:r>
      <w:r>
        <w:rPr>
          <w:lang w:eastAsia="en-US" w:bidi="en-US"/>
        </w:rPr>
        <w:t xml:space="preserve">Upstream</w:t>
      </w:r>
      <w:r>
        <w:rPr>
          <w:lang w:eastAsia="en-US" w:bidi="en-US"/>
        </w:rPr>
        <w:t xml:space="preserve"> и производственного сервисного блока №</w:t>
      </w:r>
      <w:r>
        <w:rPr>
          <w:lang w:eastAsia="en-US" w:bidi="en-US"/>
        </w:rPr>
        <w:t xml:space="preserve"> </w:t>
      </w:r>
      <w:r>
        <w:rPr>
          <w:lang w:eastAsia="en-US" w:bidi="en-US"/>
        </w:rPr>
        <w:t xml:space="preserve">ПЗ-01.04 М-0006.</w:t>
      </w:r>
      <w:r>
        <w:rPr>
          <w:lang w:eastAsia="en-US" w:bidi="en-US"/>
        </w:rPr>
      </w:r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/>
      <w:bookmarkStart w:id="29" w:name="_Toc485720806"/>
      <w:r/>
      <w:bookmarkStart w:id="30" w:name="_Toc491165236"/>
      <w:r/>
      <w:bookmarkStart w:id="31" w:name="_Toc34400648"/>
      <w:r>
        <w:rPr>
          <w:sz w:val="24"/>
        </w:rPr>
        <w:t xml:space="preserve">1.2.8. </w:t>
      </w:r>
      <w:r>
        <w:rPr>
          <w:sz w:val="24"/>
        </w:rPr>
        <w:t xml:space="preserve">Информация о необходимости осуществления мероприятий по защите сохраняемых объектов капитального строительства (здания, строения, сооружения, объекты, строительство которых не завершено), существующих и строящихся на момент подготовки п</w:t>
      </w:r>
      <w:r>
        <w:rPr>
          <w:sz w:val="24"/>
        </w:rPr>
        <w:t xml:space="preserve">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29"/>
      <w:r/>
      <w:bookmarkEnd w:id="30"/>
      <w:r/>
      <w:bookmarkEnd w:id="31"/>
      <w:r/>
      <w:r>
        <w:rPr>
          <w:sz w:val="24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Не требуется.</w:t>
      </w:r>
      <w:r>
        <w:rPr>
          <w:lang w:eastAsia="en-US" w:bidi="en-US"/>
        </w:rPr>
      </w:r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/>
      <w:bookmarkStart w:id="32" w:name="_Toc485720807"/>
      <w:r/>
      <w:bookmarkStart w:id="33" w:name="_Toc491165237"/>
      <w:r/>
      <w:bookmarkStart w:id="34" w:name="_Toc34400649"/>
      <w:r>
        <w:rPr>
          <w:sz w:val="24"/>
        </w:rPr>
        <w:t xml:space="preserve">1.2.9. </w:t>
      </w:r>
      <w:r>
        <w:rPr>
          <w:sz w:val="24"/>
        </w:rPr>
        <w:t xml:space="preserve"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32"/>
      <w:r/>
      <w:bookmarkEnd w:id="33"/>
      <w:r/>
      <w:bookmarkEnd w:id="34"/>
      <w:r/>
      <w:r>
        <w:rPr>
          <w:sz w:val="24"/>
        </w:rPr>
      </w:r>
    </w:p>
    <w:p>
      <w:pPr>
        <w:pStyle w:val="956"/>
        <w:contextualSpacing/>
      </w:pPr>
      <w:r/>
      <w:bookmarkStart w:id="35" w:name="_Toc485720808"/>
      <w:r/>
      <w:bookmarkStart w:id="36" w:name="_Toc508897813"/>
      <w:r/>
      <w:bookmarkStart w:id="37" w:name="_Toc34400650"/>
      <w:r>
        <w:t xml:space="preserve">Проект планировки территории выполнен в соответствии </w:t>
      </w:r>
      <w:r>
        <w:t xml:space="preserve">с </w:t>
      </w:r>
      <w:r>
        <w:t xml:space="preserve">п</w:t>
      </w:r>
      <w:r>
        <w:t xml:space="preserve">унктом </w:t>
      </w:r>
      <w:r>
        <w:t xml:space="preserve">10</w:t>
      </w:r>
      <w:r>
        <w:t xml:space="preserve"> </w:t>
      </w:r>
      <w:r>
        <w:t xml:space="preserve">ст</w:t>
      </w:r>
      <w:r>
        <w:t xml:space="preserve">атьи </w:t>
      </w:r>
      <w:r>
        <w:t xml:space="preserve">45 </w:t>
      </w:r>
      <w:r>
        <w:t xml:space="preserve">Градостроительн</w:t>
      </w:r>
      <w:r>
        <w:t xml:space="preserve">ого</w:t>
      </w:r>
      <w:r>
        <w:t xml:space="preserve"> Кодекс</w:t>
      </w:r>
      <w:r>
        <w:t xml:space="preserve">а</w:t>
      </w:r>
      <w:r>
        <w:t xml:space="preserve"> </w:t>
      </w:r>
      <w:r>
        <w:t xml:space="preserve">Российской Федерации </w:t>
      </w:r>
      <w:r/>
    </w:p>
    <w:p>
      <w:pPr>
        <w:pStyle w:val="956"/>
        <w:contextualSpacing/>
      </w:pPr>
      <w:r>
        <w:t xml:space="preserve">Отношения в области организации, охраны и использования объектов историко-культурного наследия регулируются </w:t>
      </w:r>
      <w:r>
        <w:t xml:space="preserve">Ф</w:t>
      </w:r>
      <w:r>
        <w:t xml:space="preserve">едеральным законом от 25</w:t>
      </w:r>
      <w:r>
        <w:t xml:space="preserve"> июня </w:t>
      </w:r>
      <w:r>
        <w:t xml:space="preserve">2002</w:t>
      </w:r>
      <w:r>
        <w:t xml:space="preserve"> </w:t>
      </w:r>
      <w:r>
        <w:t xml:space="preserve">г</w:t>
      </w:r>
      <w:r>
        <w:t xml:space="preserve">ода</w:t>
      </w:r>
      <w:r>
        <w:t xml:space="preserve"> </w:t>
      </w:r>
      <w:r>
        <w:t xml:space="preserve">№</w:t>
      </w:r>
      <w:r>
        <w:t xml:space="preserve"> </w:t>
      </w:r>
      <w:r>
        <w:t xml:space="preserve">73-ФЗ</w:t>
      </w:r>
      <w:r>
        <w:t xml:space="preserve"> «Об объектах культурного наследия (памятниках истории и культуры) народов Российской Федерации».</w:t>
      </w:r>
      <w:r/>
    </w:p>
    <w:p>
      <w:pPr>
        <w:pStyle w:val="956"/>
        <w:contextualSpacing/>
      </w:pPr>
      <w:r>
        <w:t xml:space="preserve">Во исполнение ст</w:t>
      </w:r>
      <w:r>
        <w:t xml:space="preserve">атьи </w:t>
      </w:r>
      <w:r>
        <w:t xml:space="preserve">30 Федерального закона </w:t>
      </w:r>
      <w:r>
        <w:t xml:space="preserve">от 25</w:t>
      </w:r>
      <w:r>
        <w:t xml:space="preserve"> июня </w:t>
      </w:r>
      <w:r>
        <w:t xml:space="preserve">2002</w:t>
      </w:r>
      <w:r>
        <w:t xml:space="preserve"> </w:t>
      </w:r>
      <w:r>
        <w:t xml:space="preserve">г</w:t>
      </w:r>
      <w:r>
        <w:t xml:space="preserve">ода</w:t>
      </w:r>
      <w:r>
        <w:t xml:space="preserve"> </w:t>
      </w:r>
      <w:r>
        <w:t xml:space="preserve">№</w:t>
      </w:r>
      <w:r>
        <w:t xml:space="preserve"> </w:t>
      </w:r>
      <w:r>
        <w:t xml:space="preserve">73-ФЗ </w:t>
      </w:r>
      <w:r>
        <w:t xml:space="preserve">                   </w:t>
      </w:r>
      <w:r>
        <w:t xml:space="preserve">«Об объектах культурного наследия (памятниках истории и культуры</w:t>
      </w:r>
      <w:r>
        <w:t xml:space="preserve">) народов Российской Федерации» </w:t>
      </w:r>
      <w:r>
        <w:t xml:space="preserve">до начала проведения земляных, строительных, мелиоративных, хозяйственных работ, необходимо провести государственную историко-культурную экспертизу в установленном данным Федеральным законом порядке.</w:t>
      </w:r>
      <w:r/>
    </w:p>
    <w:p>
      <w:pPr>
        <w:pStyle w:val="956"/>
        <w:contextualSpacing/>
      </w:pPr>
      <w:r>
        <w:t xml:space="preserve">Согласно заключению Службы государственной охраны объектов культурного наследия </w:t>
      </w:r>
      <w:r>
        <w:t xml:space="preserve">Ханты-Мансийского автономного округа – Югры </w:t>
      </w:r>
      <w:r>
        <w:t xml:space="preserve">установлено, что на территории земельного участка предстоящей застройки объекты культурного наследия, включенные в единый государственный реестр объектов культурного наследия (памятников истории и культуры) народов </w:t>
      </w:r>
      <w:r>
        <w:t xml:space="preserve">Российской Федерации</w:t>
      </w:r>
      <w:r>
        <w:t xml:space="preserve">, а также выявленные объекты культурного наследия либо объекты, обладающие признаками объекта культурного наследия отсутствуют.</w:t>
      </w:r>
      <w:r>
        <w:t xml:space="preserve"> Участок находится вне зон охраны/защитных зон объектов культурного наследия.</w:t>
      </w:r>
      <w:r/>
    </w:p>
    <w:p>
      <w:pPr>
        <w:pStyle w:val="956"/>
        <w:contextualSpacing/>
      </w:pPr>
      <w:r>
        <w:t xml:space="preserve">Согласно акт</w:t>
      </w:r>
      <w:r>
        <w:t xml:space="preserve">у</w:t>
      </w:r>
      <w:r>
        <w:t xml:space="preserve"> государственной историко-культурной экспертизы, а также согласно техническ</w:t>
      </w:r>
      <w:r>
        <w:t xml:space="preserve">ому</w:t>
      </w:r>
      <w:r>
        <w:t xml:space="preserve"> отчет</w:t>
      </w:r>
      <w:r>
        <w:t xml:space="preserve">у</w:t>
      </w:r>
      <w:r>
        <w:t xml:space="preserve"> по историко-культурному исследованию земельного участка, отводимого под проект (отчет выполнен </w:t>
      </w:r>
      <w:r>
        <w:t xml:space="preserve">обществом с ограниченной ответственностью</w:t>
      </w:r>
      <w:r>
        <w:t xml:space="preserve"> «Центр археологических исследований» Ямало-Ненецкого </w:t>
      </w:r>
      <w:r>
        <w:t xml:space="preserve">автономного округа</w:t>
      </w:r>
      <w:r>
        <w:t xml:space="preserve">, </w:t>
      </w:r>
      <w:r>
        <w:t xml:space="preserve">                         </w:t>
      </w:r>
      <w:r>
        <w:t xml:space="preserve">МР </w:t>
      </w:r>
      <w:r>
        <w:t xml:space="preserve">Надымский</w:t>
      </w:r>
      <w:r>
        <w:t xml:space="preserve"> район), установлено: на территории испрашиваемого земельного участка в границах инженерных изысканий и границах разработки документации по планировке территории (в графической части </w:t>
      </w:r>
      <w:r>
        <w:t xml:space="preserve">ППиМТ</w:t>
      </w:r>
      <w:r>
        <w:t xml:space="preserve"> </w:t>
      </w:r>
      <w:r>
        <w:t xml:space="preserve">-</w:t>
      </w:r>
      <w:r>
        <w:t xml:space="preserve"> границы разработки проекта планировки)  расположены выявленные</w:t>
      </w:r>
      <w:r>
        <w:t xml:space="preserve"> объекты культурного наследия: городище Красный Яр 13, городище Красный Яр 14, городище Красный Яр 16. </w:t>
      </w:r>
      <w:r>
        <w:t xml:space="preserve">С целью исключения производства земельных работ в пределах обозначенных границ ОКН, граница зоны планируемого размещения проектируемых объектов предусмотрена с учетом </w:t>
      </w:r>
      <w:r>
        <w:t xml:space="preserve">огибания</w:t>
      </w:r>
      <w:r>
        <w:t xml:space="preserve"> территории выявленных объектов культурного наследия городище Красный Яр 13, городище Красный Яр 14, городище Красный Яр 16 трассами проектируемых линейных объектов и земельными отводами под них.</w:t>
      </w:r>
      <w:r>
        <w:t xml:space="preserve"> </w:t>
      </w:r>
      <w:r>
        <w:t xml:space="preserve">Таким образом, зона ОКН городище Красный Яр 13, городище Красный Яр 14, городище Красный Яр 16 не попадает в зону размещения проектируемых объектов и отводимых под них земельных участков.</w:t>
      </w:r>
      <w:r/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1.2.10. </w:t>
      </w:r>
      <w:r>
        <w:rPr>
          <w:sz w:val="24"/>
        </w:rPr>
        <w:t xml:space="preserve">Информация о необходимости осуществления мероприятий по охране окружающей среды</w:t>
      </w:r>
      <w:bookmarkEnd w:id="35"/>
      <w:r/>
      <w:bookmarkEnd w:id="36"/>
      <w:r/>
      <w:bookmarkEnd w:id="37"/>
      <w:r/>
      <w:r>
        <w:rPr>
          <w:sz w:val="24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целях уменьшения загрязнения атмосферного воздуха в период строительства токсичными соединениями предусмотрены следующие мероприятия: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обязательная диагностика на допустимую степень выброса вредных веществ в атмосферу двигателей транспортных средств, строительных машин и механизмов;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запуск и прогрев двигателей транспортных средств, строительных машин по утвержденному графику;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запрет на оставление техники с работающими двигателями в ночное время.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движение транспорта по установленной схеме, недопущение неконтролируемых поездок.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период эксплуатации с целью уменьшения загрязнения атмосферного воздуха и предотвращения аварийных ситуаций при эксплуатации предусмотрены технические решения, позволяющие свести до минимума вредное воздействие на атмосферный воз</w:t>
      </w:r>
      <w:r>
        <w:rPr>
          <w:lang w:eastAsia="en-US" w:bidi="en-US"/>
        </w:rPr>
        <w:t xml:space="preserve">дух. Технические решения, предусмотренные проектом, представлены комплексом технологических, технических и организационных мероприятий, направленных, в первую очередь, на повышение эксплуатационной надежности, противопожарной и экологической безопасности с</w:t>
      </w:r>
      <w:r>
        <w:rPr>
          <w:lang w:eastAsia="en-US" w:bidi="en-US"/>
        </w:rPr>
        <w:t xml:space="preserve">истем наземного обустройства, так </w:t>
      </w:r>
      <w:r>
        <w:rPr>
          <w:lang w:eastAsia="en-US" w:bidi="en-US"/>
        </w:rPr>
        <w:t xml:space="preserve">к</w:t>
      </w:r>
      <w:r>
        <w:rPr>
          <w:lang w:eastAsia="en-US" w:bidi="en-US"/>
        </w:rPr>
        <w:t xml:space="preserve">ак</w:t>
      </w:r>
      <w:r>
        <w:rPr>
          <w:lang w:eastAsia="en-US" w:bidi="en-US"/>
        </w:rPr>
        <w:t xml:space="preserve"> предусматривают применение новейших технологий и обеспечивают минимальные потери углеводородного сырья.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К основным мероприятиям, смягчающим негативные воздействия относятся: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проведение работ в границах строго отведенной территории;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сокращение площади участков для ремонтных работ, ограничение их минимальными технологически необходимыми размерами;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рекультивация нарушенных земель;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благоустройство территории;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оснащение бригады контейнерами для бытовых и строительных отходов.</w:t>
      </w:r>
      <w:r>
        <w:rPr>
          <w:lang w:eastAsia="en-US" w:bidi="en-US"/>
        </w:rPr>
      </w:r>
    </w:p>
    <w:p>
      <w:pPr>
        <w:pStyle w:val="886"/>
        <w:contextualSpacing/>
        <w:rPr>
          <w:sz w:val="22"/>
          <w:szCs w:val="22"/>
          <w:lang w:eastAsia="en-US" w:bidi="en-US"/>
        </w:rPr>
      </w:pPr>
      <w:r>
        <w:rPr>
          <w:sz w:val="22"/>
          <w:szCs w:val="22"/>
          <w:lang w:eastAsia="en-US" w:bidi="en-US"/>
        </w:rPr>
      </w:r>
      <w:r>
        <w:rPr>
          <w:sz w:val="22"/>
          <w:szCs w:val="22"/>
          <w:lang w:eastAsia="en-US" w:bidi="en-US"/>
        </w:rPr>
      </w:r>
    </w:p>
    <w:p>
      <w:pPr>
        <w:pStyle w:val="886"/>
        <w:contextualSpacing/>
        <w:jc w:val="center"/>
        <w:rPr>
          <w:lang w:eastAsia="en-US" w:bidi="en-US"/>
        </w:rPr>
      </w:pPr>
      <w:r>
        <w:rPr>
          <w:lang w:eastAsia="en-US" w:bidi="en-US"/>
        </w:rPr>
        <w:t xml:space="preserve">Природоохранные мероприятия при </w:t>
      </w:r>
      <w:r>
        <w:rPr>
          <w:lang w:eastAsia="en-US" w:bidi="en-US"/>
        </w:rPr>
        <w:t xml:space="preserve">строительстве</w:t>
      </w:r>
      <w:r>
        <w:rPr>
          <w:lang w:eastAsia="en-US" w:bidi="en-US"/>
        </w:rPr>
        <w:t xml:space="preserve"> кустового основания</w:t>
      </w:r>
      <w:r>
        <w:rPr>
          <w:lang w:eastAsia="en-US" w:bidi="en-US"/>
        </w:rPr>
      </w:r>
    </w:p>
    <w:p>
      <w:pPr>
        <w:pStyle w:val="886"/>
        <w:contextualSpacing/>
        <w:jc w:val="center"/>
        <w:rPr>
          <w:sz w:val="22"/>
          <w:szCs w:val="22"/>
          <w:lang w:eastAsia="en-US" w:bidi="en-US"/>
        </w:rPr>
      </w:pPr>
      <w:r>
        <w:rPr>
          <w:sz w:val="22"/>
          <w:szCs w:val="22"/>
          <w:lang w:eastAsia="en-US" w:bidi="en-US"/>
        </w:rPr>
      </w:r>
      <w:r>
        <w:rPr>
          <w:sz w:val="22"/>
          <w:szCs w:val="22"/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 обустройстве площадок кустов скважин предусматриваются следующие природоохранные мероприятия: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отсыпк</w:t>
      </w:r>
      <w:r>
        <w:rPr>
          <w:lang w:eastAsia="en-US" w:bidi="en-US"/>
        </w:rPr>
        <w:t xml:space="preserve">а</w:t>
      </w:r>
      <w:r>
        <w:rPr>
          <w:lang w:eastAsia="en-US" w:bidi="en-US"/>
        </w:rPr>
        <w:t xml:space="preserve"> площадок кустов скважин привозным минеральным грунтом (песком);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организаци</w:t>
      </w:r>
      <w:r>
        <w:rPr>
          <w:lang w:eastAsia="en-US" w:bidi="en-US"/>
        </w:rPr>
        <w:t xml:space="preserve">я</w:t>
      </w:r>
      <w:r>
        <w:rPr>
          <w:lang w:eastAsia="en-US" w:bidi="en-US"/>
        </w:rPr>
        <w:t xml:space="preserve"> поверхностного водоотвода посредством вертикальной планировки площадок;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устройство </w:t>
      </w:r>
      <w:r>
        <w:rPr>
          <w:lang w:eastAsia="en-US" w:bidi="en-US"/>
        </w:rPr>
        <w:t xml:space="preserve">забурных</w:t>
      </w:r>
      <w:r>
        <w:rPr>
          <w:lang w:eastAsia="en-US" w:bidi="en-US"/>
        </w:rPr>
        <w:t xml:space="preserve"> устройств;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устройство обвалования по периметру кустового основания;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гидроизоляци</w:t>
      </w:r>
      <w:r>
        <w:rPr>
          <w:lang w:eastAsia="en-US" w:bidi="en-US"/>
        </w:rPr>
        <w:t xml:space="preserve">я</w:t>
      </w:r>
      <w:r>
        <w:rPr>
          <w:lang w:eastAsia="en-US" w:bidi="en-US"/>
        </w:rPr>
        <w:t xml:space="preserve"> площадок накопления отходов бурения посредством водонепроницаемой прослойки из полиэтиленовой пленки марки</w:t>
      </w:r>
      <w:r>
        <w:rPr>
          <w:lang w:eastAsia="en-US" w:bidi="en-US"/>
        </w:rPr>
        <w:t xml:space="preserve"> В</w:t>
      </w:r>
      <w:r>
        <w:rPr>
          <w:lang w:eastAsia="en-US" w:bidi="en-US"/>
        </w:rPr>
        <w:t xml:space="preserve"> и </w:t>
      </w:r>
      <w:r>
        <w:rPr>
          <w:lang w:eastAsia="en-US" w:bidi="en-US"/>
        </w:rPr>
        <w:t xml:space="preserve">геополотна</w:t>
      </w:r>
      <w:r>
        <w:rPr>
          <w:lang w:eastAsia="en-US" w:bidi="en-US"/>
        </w:rPr>
        <w:t xml:space="preserve"> ГП-Р-10-100-1-60-УХЛ и нанесением по верху глинистого грунта толщиной не менее 5 см;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укрепление </w:t>
      </w:r>
      <w:r>
        <w:rPr>
          <w:lang w:eastAsia="en-US" w:bidi="en-US"/>
        </w:rPr>
        <w:t xml:space="preserve">откосов насыпи площадки куста скважин</w:t>
      </w:r>
      <w:r>
        <w:rPr>
          <w:lang w:eastAsia="en-US" w:bidi="en-US"/>
        </w:rPr>
        <w:t xml:space="preserve"> </w:t>
      </w:r>
      <w:r>
        <w:rPr>
          <w:lang w:eastAsia="en-US" w:bidi="en-US"/>
        </w:rPr>
        <w:t xml:space="preserve">торфо</w:t>
      </w:r>
      <w:r>
        <w:rPr>
          <w:lang w:eastAsia="en-US" w:bidi="en-US"/>
        </w:rPr>
        <w:t xml:space="preserve">-песчаной смесью, в целях предотвращения ветровой эрозии и размыва откосов дождевыми осадками;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гидроизоляцию всей площади площадки куста скважин;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для обеспечения безопасности по всему периметру площадок накопления отходов бурения предусмотрено устройство сборно-разборного ограждения высотой 1,25 м;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обвалование площадок накопления отходов бурения. Высота </w:t>
      </w:r>
      <w:r>
        <w:rPr>
          <w:lang w:eastAsia="en-US" w:bidi="en-US"/>
        </w:rPr>
        <w:t xml:space="preserve">обваловки</w:t>
      </w:r>
      <w:r>
        <w:rPr>
          <w:lang w:eastAsia="en-US" w:bidi="en-US"/>
        </w:rPr>
        <w:t xml:space="preserve"> 1,0 м, ширина по верху </w:t>
      </w:r>
      <w:r>
        <w:rPr>
          <w:lang w:eastAsia="en-US" w:bidi="en-US"/>
        </w:rPr>
        <w:t xml:space="preserve">-</w:t>
      </w:r>
      <w:r>
        <w:rPr>
          <w:lang w:eastAsia="en-US" w:bidi="en-US"/>
        </w:rPr>
        <w:t xml:space="preserve"> 0,5 м;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ликвидаци</w:t>
      </w:r>
      <w:r>
        <w:rPr>
          <w:lang w:eastAsia="en-US" w:bidi="en-US"/>
        </w:rPr>
        <w:t xml:space="preserve">я</w:t>
      </w:r>
      <w:r>
        <w:rPr>
          <w:lang w:eastAsia="en-US" w:bidi="en-US"/>
        </w:rPr>
        <w:t xml:space="preserve"> и рекультиваци</w:t>
      </w:r>
      <w:r>
        <w:rPr>
          <w:lang w:eastAsia="en-US" w:bidi="en-US"/>
        </w:rPr>
        <w:t xml:space="preserve">я</w:t>
      </w:r>
      <w:r>
        <w:rPr>
          <w:lang w:eastAsia="en-US" w:bidi="en-US"/>
        </w:rPr>
        <w:t xml:space="preserve"> площадок накопления отходов бурения;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рекультивация временных сооружений;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Работы по ликвидации площадок накопления отходов бурения на площадке куста скважин предусматривают: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засыпку пл</w:t>
      </w:r>
      <w:r>
        <w:rPr>
          <w:lang w:eastAsia="en-US" w:bidi="en-US"/>
        </w:rPr>
        <w:t xml:space="preserve">ощадки накопления отходов бурения продуктом, полученным по действующим технологиям, имеющим положительное заключение ГЭЭ, при утилизации отходов бурения на площадке накопления, а также при необходимости грунтом из разбираемой части площадок кустов скважин;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распределение почвенно-растительного грунта на технически рекультивированные площадки накопления отходов бурения с посевом трав, адаптированных к местным климатическим условиям.</w:t>
      </w:r>
      <w:r>
        <w:rPr>
          <w:lang w:eastAsia="en-US" w:bidi="en-US"/>
        </w:rPr>
      </w:r>
    </w:p>
    <w:p>
      <w:pPr>
        <w:pStyle w:val="886"/>
        <w:contextualSpacing/>
        <w:jc w:val="center"/>
        <w:rPr>
          <w:lang w:eastAsia="en-US" w:bidi="en-US"/>
        </w:rPr>
      </w:pPr>
      <w:r>
        <w:rPr>
          <w:lang w:eastAsia="en-US" w:bidi="en-US"/>
        </w:rPr>
        <w:t xml:space="preserve">Линейные объекты</w:t>
      </w:r>
      <w:r>
        <w:rPr>
          <w:lang w:eastAsia="en-US" w:bidi="en-US"/>
        </w:rPr>
      </w:r>
    </w:p>
    <w:p>
      <w:pPr>
        <w:pStyle w:val="886"/>
        <w:contextualSpacing/>
        <w:jc w:val="center"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Расположение труб принято по условиям пропуска паводковых и ливневых вод и исключающим заболачиваемость прилегающей к дороге местности. Трубы рассчитаны на пропуск паводка 3% вероятности превышения. Работа труб принята в безнапорном режиме.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Тело трубы принято из стальных электросварных труб из стали с повышенной коррозионной стойкостью и холодостойкостью.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Наружная часть трубы изолируется двумя слоями битумной мастики или эмалью по грунтовке.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Проектом предусмотрено устройство диафрагм из нетканого синтетического материала в 2 слоя по битумной мастике. Диафрагмы устраиваются в теле насыпи на расстоянии 0,5 м от откосов и служат для предотвращения размыва земляного полотна по телу трубы.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Слабые грунты в основании труб вырезаются и заменяются песком из штабеля существующего карьера. Торф используется при укрепительных </w:t>
      </w:r>
      <w:r>
        <w:rPr>
          <w:lang w:eastAsia="en-US" w:bidi="en-US"/>
        </w:rPr>
        <w:t xml:space="preserve">работах</w:t>
      </w:r>
      <w:r>
        <w:rPr>
          <w:lang w:eastAsia="en-US" w:bidi="en-US"/>
        </w:rPr>
        <w:t xml:space="preserve">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Конструкция трубы из гофрированного металла принята из листов, металлических гофрированных со следующими параметрами: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параметры гофры 150 мм;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сталь по ГОСТ 19281-2014</w:t>
      </w:r>
      <w:r>
        <w:rPr>
          <w:lang w:eastAsia="en-US" w:bidi="en-US"/>
        </w:rPr>
        <w:t xml:space="preserve">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Минимальная толщина листа для водопропускных труб из гофрированного металла,</w:t>
      </w:r>
      <w:r>
        <w:rPr>
          <w:lang w:eastAsia="en-US" w:bidi="en-US"/>
        </w:rPr>
        <w:t xml:space="preserve"> </w:t>
      </w:r>
      <w:r>
        <w:rPr>
          <w:lang w:eastAsia="en-US" w:bidi="en-US"/>
        </w:rPr>
        <w:t xml:space="preserve"> 4 мм.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Проектной документацией предусмотрено использование гофрированных элементов с основным, выполненным в заводских условиях и дополнительным антикоррозионным </w:t>
      </w:r>
      <w:r>
        <w:rPr>
          <w:lang w:eastAsia="en-US" w:bidi="en-US"/>
        </w:rPr>
        <w:t xml:space="preserve">покрытием. В качестве дополнительной антикоррозионной защ</w:t>
      </w:r>
      <w:r>
        <w:rPr>
          <w:lang w:eastAsia="en-US" w:bidi="en-US"/>
        </w:rPr>
        <w:t xml:space="preserve">иты внутренней и внешней поверхности трубы предусмотрено двухслойное полимерное лакокрасочное покрытие марки Э-1 общей толщиной 0,3 мм. Аналогичным типом покрытия необходимо выполнить защиту стыковых соединений после сборки трубы на строительной площадке.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</w:t>
      </w:r>
      <w:r>
        <w:rPr>
          <w:lang w:eastAsia="en-US" w:bidi="en-US"/>
        </w:rPr>
        <w:t xml:space="preserve">оголовочной</w:t>
      </w:r>
      <w:r>
        <w:rPr>
          <w:lang w:eastAsia="en-US" w:bidi="en-US"/>
        </w:rPr>
        <w:t xml:space="preserve"> части труб для предотвращения фильтрации воды предусмотрено устройство противофильтрационных экранов. Для устройства экранов используется гидроизоляционный материал.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Под средней частью трубы предусмотрено устройство подушки толщиной 0,7 м </w:t>
      </w:r>
      <w:r>
        <w:rPr>
          <w:lang w:eastAsia="en-US" w:bidi="en-US"/>
        </w:rPr>
        <w:t xml:space="preserve">                 </w:t>
      </w:r>
      <w:r>
        <w:rPr>
          <w:lang w:eastAsia="en-US" w:bidi="en-US"/>
        </w:rPr>
        <w:t xml:space="preserve">из щебня фр. 20-40 мм. Содержание обломков размером более 50 мм не допустимо. Работы по устройству оснований выполняются в зимний период. В связи с расположением труб на слабых грунтах выполнена их замена на привозной песок.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Для защиты покрытия в нижней части гофрированных труб от истирания устраивается защитный лоток из мелкозернистого бет</w:t>
      </w:r>
      <w:r>
        <w:rPr>
          <w:lang w:eastAsia="en-US" w:bidi="en-US"/>
        </w:rPr>
        <w:t xml:space="preserve">она В30, морозостойкостью F300, водонепроницаемостью W6. Изготовление лотка предусматривается непосредственно в теле трубы. Укрепление откосов насыпи предусмотрено щебнем фракции 40-70 мм марки по прочности не менее 300, по морозостойкости не менее 50, по </w:t>
      </w:r>
      <w:r>
        <w:rPr>
          <w:lang w:eastAsia="en-US" w:bidi="en-US"/>
        </w:rPr>
        <w:t xml:space="preserve">истираемости</w:t>
      </w:r>
      <w:r>
        <w:rPr>
          <w:lang w:eastAsia="en-US" w:bidi="en-US"/>
        </w:rPr>
        <w:t xml:space="preserve"> не менее И</w:t>
      </w:r>
      <w:r>
        <w:rPr>
          <w:lang w:eastAsia="en-US" w:bidi="en-US"/>
        </w:rPr>
        <w:t xml:space="preserve">4</w:t>
      </w:r>
      <w:r>
        <w:rPr>
          <w:lang w:eastAsia="en-US" w:bidi="en-US"/>
        </w:rPr>
        <w:t xml:space="preserve">, толщиной слоя 20 см.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Укрепление входного и выходного русел труб принято щебнем фракции 40-70 мм, толщиной 20 см.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соотв</w:t>
      </w:r>
      <w:r>
        <w:rPr>
          <w:lang w:eastAsia="en-US" w:bidi="en-US"/>
        </w:rPr>
        <w:t xml:space="preserve">етствии с требованиями ГОСТ 17.4.3.02-85, ВСН 014-89 при строительстве объектов на участках, занятых лесом, предусматривается снятие почвенно-растительного слоя на автоморфных (суходольных) участках, при мощности почвенно-растительного слоя не менее 10 см.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На гидроморфных участках развития торфяно-болотных и торфяно-глеевых почв почвенно-растительный слой не снимается.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На участках, где почвенно-растительный слой не снимается, следует максимально сохранять почвенный и мохово-растительный покров от нарушения и загрязнения.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Согласно пункту 3.23 РД 39-133-94 «Инструкция по охране окружающей среды при </w:t>
      </w:r>
      <w:r>
        <w:rPr>
          <w:lang w:eastAsia="en-US" w:bidi="en-US"/>
        </w:rPr>
        <w:t xml:space="preserve">строительстве</w:t>
      </w:r>
      <w:r>
        <w:rPr>
          <w:lang w:eastAsia="en-US" w:bidi="en-US"/>
        </w:rPr>
        <w:t xml:space="preserve"> скважин на нефть и газ на суше», снятие плодородного слоя на почвах, распространенных на исследуемой территории, нецелесообразно.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соответствии с ГОСТ 17.5.1.03-86 почвы территории работ малопригодны для биологической рекультивации ввиду сильной кислотности</w:t>
      </w:r>
      <w:r>
        <w:rPr>
          <w:lang w:eastAsia="en-US" w:bidi="en-US"/>
        </w:rPr>
        <w:t xml:space="preserve">. В связи с чем, почвенный покров территории может использоваться под многолетние лесонасаждения различного назначения, только после улучшения химических свойств пород и специальных агротехнических мероприятий, также может использоваться под ложе водоемов.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ходе проведения работ по рекультивации на участке работ снятие плодородного слоя не предусматривается.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связи с тем, что в данном регионе сельское хозяйство не развито,</w:t>
      </w:r>
      <w:r>
        <w:rPr>
          <w:lang w:eastAsia="en-US" w:bidi="en-US"/>
        </w:rPr>
        <w:t xml:space="preserve">                                           </w:t>
      </w:r>
      <w:r>
        <w:rPr>
          <w:lang w:eastAsia="en-US" w:bidi="en-US"/>
        </w:rPr>
        <w:t xml:space="preserve"> а лесохозяйственное направление рекультивации не может быть выбрано в связи с противопожарными нормами и нормами обслуживания проектируемых объектов проектом предусмотрено природоохранное и лесохозяйственное направления рекультивации.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Рекультивация нарушенных земель должна осуществляться в два последовательных этапа: технический и биологический, в соответствии с требованиями ГОСТ 17.5.1.01.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Техническая рекультивация территории включает следующие мероприятия: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срезку-возвращение почвенно-растительного грунта;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планировку территории;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ликвидаци</w:t>
      </w:r>
      <w:r>
        <w:rPr>
          <w:lang w:eastAsia="en-US" w:bidi="en-US"/>
        </w:rPr>
        <w:t xml:space="preserve">ю</w:t>
      </w:r>
      <w:r>
        <w:rPr>
          <w:lang w:eastAsia="en-US" w:bidi="en-US"/>
        </w:rPr>
        <w:t xml:space="preserve"> временных устройств и сооружений;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уборку строительного мусора.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Биологический этап рекультивации включает комплекс агротехнических и фитомелиоративных мероприятий по восстановлению плодородия нарушенных земель и производится правообладателем земельного участка за счет сре</w:t>
      </w:r>
      <w:r>
        <w:rPr>
          <w:lang w:eastAsia="en-US" w:bidi="en-US"/>
        </w:rPr>
        <w:t xml:space="preserve">дств пр</w:t>
      </w:r>
      <w:r>
        <w:rPr>
          <w:lang w:eastAsia="en-US" w:bidi="en-US"/>
        </w:rPr>
        <w:t xml:space="preserve">едприятия, нарушившего покров земли.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Техническая рекультивация проводится на месте размещения площадки временного накопления буровых отходов и кустовой площадки. На остальной площади проводится биологическая рекультивация.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По окончании рекультивационных работ все земли, находящиеся в краткосрочной аренде, сдаются правообладателю земельных участков. Рекультивация земельных участков должна быть проведена до истечения сроков действия советующих договоров аренды.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Проектом предусматриваются следующие мероприятия по охране недр: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неукоснительное выполнение лицензионных условий на право пользования недрами;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учет извлекаемых запасов;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обеспечение полноты геологического изучения и рационального комплексного использования недр;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запрещено производить геологические, поисковые, изыскательские работы, не запланированные по графику;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аттестация состояния и параметров трубопроводов на стадии строительства, испытаний и приемки путем пооперационного контроля и технадзора за качеством строительно-монтажных работ;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герметизированная система сбора продукции скважин;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строительство площадок накопления отходов бурения;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обвалование площадки куста скважин и площадок накопления отходов бурения;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рекультивация нарушенных земель;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накопление отходов в контейнерах с крышкой на площадках с твердым покрытием. Обращение с отходами осуществляется на основании договоров со специализированными предприятиями, имеющими лицензии по обращению с отходами.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Лица, виновные в нарушении требований </w:t>
      </w:r>
      <w:r>
        <w:rPr>
          <w:lang w:eastAsia="en-US" w:bidi="en-US"/>
        </w:rPr>
        <w:t xml:space="preserve">з</w:t>
      </w:r>
      <w:r>
        <w:rPr>
          <w:color w:val="000000"/>
          <w:spacing w:val="-4"/>
        </w:rPr>
        <w:t xml:space="preserve">акона Российской Федерации от 21 февраля 1992 года № 2395-1 «О недрах»</w:t>
      </w:r>
      <w:r>
        <w:rPr>
          <w:lang w:eastAsia="en-US" w:bidi="en-US"/>
        </w:rPr>
        <w:t xml:space="preserve"> несут уголовную и административную ответственность.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проектной документации приняты следующие мероприятия для сохранения водных биологических ресурсов: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применение </w:t>
      </w:r>
      <w:r>
        <w:rPr>
          <w:lang w:eastAsia="en-US" w:bidi="en-US"/>
        </w:rPr>
        <w:t xml:space="preserve">нефтегазопроводных</w:t>
      </w:r>
      <w:r>
        <w:rPr>
          <w:lang w:eastAsia="en-US" w:bidi="en-US"/>
        </w:rPr>
        <w:t xml:space="preserve"> труб повышенной коррозионной стойкости и эксплуатационной надежности;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увеличение толщины стенки труб по сравнению </w:t>
      </w:r>
      <w:r>
        <w:rPr>
          <w:lang w:eastAsia="en-US" w:bidi="en-US"/>
        </w:rPr>
        <w:t xml:space="preserve">с</w:t>
      </w:r>
      <w:r>
        <w:rPr>
          <w:lang w:eastAsia="en-US" w:bidi="en-US"/>
        </w:rPr>
        <w:t xml:space="preserve"> расчетной;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применение тепловой изоляции с </w:t>
      </w:r>
      <w:r>
        <w:rPr>
          <w:lang w:eastAsia="en-US" w:bidi="en-US"/>
        </w:rPr>
        <w:t xml:space="preserve">электрообогревом</w:t>
      </w:r>
      <w:r>
        <w:rPr>
          <w:lang w:eastAsia="en-US" w:bidi="en-US"/>
        </w:rPr>
        <w:t xml:space="preserve"> для надземных участков выкидных и нефтегазосборных трубопроводов;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применение в качестве запорной арматуры задвижек герметичности класса «А» по ГОСТ 9544-2015;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для возможности отключения проектируемых кустов скважин от общей нефтегазосборной сети месторождения на нефтегазосборных трубопроводах (на выходе с измерительных установок) установлены электроприводные задвижки (ЗД</w:t>
      </w:r>
      <w:r>
        <w:rPr>
          <w:lang w:eastAsia="en-US" w:bidi="en-US"/>
        </w:rPr>
        <w:t xml:space="preserve">1</w:t>
      </w:r>
      <w:r>
        <w:rPr>
          <w:lang w:eastAsia="en-US" w:bidi="en-US"/>
        </w:rPr>
        <w:t xml:space="preserve">), имеющие дистанционное и автоматическое управление по сигналам систем противоаварийной защиты. Примечание: задвижка фланцевая, управление - электропривод, класс герметичности</w:t>
      </w:r>
      <w:r>
        <w:rPr>
          <w:lang w:eastAsia="en-US" w:bidi="en-US"/>
        </w:rPr>
        <w:t xml:space="preserve"> А</w:t>
      </w:r>
      <w:r>
        <w:rPr>
          <w:lang w:eastAsia="en-US" w:bidi="en-US"/>
        </w:rPr>
        <w:t xml:space="preserve"> по ГОСТ 9544-2015, исполнение по стойкости к сульфидно-коррозионному растрескиванию (СКР)</w:t>
      </w:r>
      <w:r>
        <w:rPr>
          <w:lang w:eastAsia="en-US" w:bidi="en-US"/>
        </w:rPr>
        <w:t xml:space="preserve"> -</w:t>
      </w:r>
      <w:r>
        <w:rPr>
          <w:lang w:eastAsia="en-US" w:bidi="en-US"/>
        </w:rPr>
        <w:t xml:space="preserve"> стандартное;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дренажные стоки с измерительной установки, сбор дренажа с приустьевых поддонов, сброс с предохранительных клапанов предусмотрены в дренажные емкости с последующей откачкой в передвижные средства;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применение тепловой изоляции для надземных участков трубопровода дренажа, трубопровода сброса с предохранительных клапанов;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на технологических трубопроводах предусмотрены дренажи для слива воды после гидравлического испытания и воздушники в верхних точках трубопроводов для удаления газа;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установка технологических задвижек вблизи дренажных емкостей, для опорожнения дренажной емкости посредством передвижной техники в коллектор.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Заправка техники предусмотрена с «колес», на специальных площадках с твердым покрытием, не допускающим фильтрацию горюче-смазочных материалов. Базирование и заправка строительной техники и механизмов предусмотрена за пределами ГВВ, ВОЗ и ПЗП.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Заправка строительных машин топливом предусмотрено автотопливозаправщиком, находящимся в исправном состоянии, укомплектованным огнетушителями и кошмой.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Для предотвращения загрязнения почвы в месте наиболее вероятного розлива топлива используются металлические переносные поддоны.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Вопрос обеспечения строительной техники </w:t>
      </w:r>
      <w:r>
        <w:t xml:space="preserve">горюче-смазочны</w:t>
      </w:r>
      <w:r>
        <w:t xml:space="preserve">ми</w:t>
      </w:r>
      <w:r>
        <w:t xml:space="preserve"> материал</w:t>
      </w:r>
      <w:r>
        <w:t xml:space="preserve">ами</w:t>
      </w:r>
      <w:r>
        <w:rPr>
          <w:lang w:eastAsia="en-US" w:bidi="en-US"/>
        </w:rPr>
        <w:t xml:space="preserve">, будет решаться подрядной организацией на основании договора с местными сервисными организациями.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Забор воды из </w:t>
      </w:r>
      <w:r>
        <w:rPr>
          <w:lang w:eastAsia="en-US" w:bidi="en-US"/>
        </w:rPr>
        <w:t xml:space="preserve">поверхностных</w:t>
      </w:r>
      <w:r>
        <w:rPr>
          <w:lang w:eastAsia="en-US" w:bidi="en-US"/>
        </w:rPr>
        <w:t xml:space="preserve"> водных объектов проектной документацией не предусмотрен.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Сброс неочищенных сточных вод в поверхностные водоемы и подземные источники отсутствует.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Для уменьшения воздействия на водные биоресурсы при </w:t>
      </w:r>
      <w:r>
        <w:rPr>
          <w:lang w:eastAsia="en-US" w:bidi="en-US"/>
        </w:rPr>
        <w:t xml:space="preserve">строительстве</w:t>
      </w:r>
      <w:r>
        <w:rPr>
          <w:lang w:eastAsia="en-US" w:bidi="en-US"/>
        </w:rPr>
        <w:t xml:space="preserve"> трубопроводов в данном проекте предусмотрены следующие мероприятия: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засыпка траншей с превышением над естественным уровнем поверхности земли для восстановления рельефа после естественного уплотнения грунта засыпки;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выполнение строительно-монтажных работ должно осуществляться, как правило, в зимний период для уменьшения воздействия строительных машин на растительный береговой покров и уменьшения нанесения ущерба рыбному хозяйству;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компенсационные мероприятия ущерба </w:t>
      </w:r>
      <w:r>
        <w:t xml:space="preserve">водны</w:t>
      </w:r>
      <w:r>
        <w:t xml:space="preserve">х</w:t>
      </w:r>
      <w:r>
        <w:t xml:space="preserve"> биологически</w:t>
      </w:r>
      <w:r>
        <w:t xml:space="preserve">х</w:t>
      </w:r>
      <w:r>
        <w:t xml:space="preserve"> ресурс</w:t>
      </w:r>
      <w:r>
        <w:t xml:space="preserve">ов</w:t>
      </w:r>
      <w:r>
        <w:rPr>
          <w:lang w:eastAsia="en-US" w:bidi="en-US"/>
        </w:rPr>
        <w:t xml:space="preserve"> выпуском молоди ценных видов рыб;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выполнение рекультивационных работ.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Минимальное воздействие на ихтиофауну возможно во время летнего нагула рыб в летнюю межень до начала массовой нерестовой и зимовальной миграции рыб (июль</w:t>
      </w:r>
      <w:r>
        <w:rPr>
          <w:lang w:eastAsia="en-US" w:bidi="en-US"/>
        </w:rPr>
        <w:t xml:space="preserve">-</w:t>
      </w:r>
      <w:r>
        <w:rPr>
          <w:lang w:eastAsia="en-US" w:bidi="en-US"/>
        </w:rPr>
        <w:t xml:space="preserve">август) и зимнюю межень (ноябрь-март). Проектной документацией строительство на пойме реки Оби предусмотрено в зимний период.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Сроки ограничения строительных работ на водных объектах в период нереста, развития икры и личинок </w:t>
      </w:r>
      <w:r>
        <w:rPr>
          <w:lang w:eastAsia="en-US" w:bidi="en-US"/>
        </w:rPr>
        <w:t xml:space="preserve">фитофильных</w:t>
      </w:r>
      <w:r>
        <w:rPr>
          <w:lang w:eastAsia="en-US" w:bidi="en-US"/>
        </w:rPr>
        <w:t xml:space="preserve"> видов рыб необходимо предусмотреть с 15 мая</w:t>
      </w:r>
      <w:r>
        <w:rPr>
          <w:lang w:eastAsia="en-US" w:bidi="en-US"/>
        </w:rPr>
        <w:t xml:space="preserve">                   </w:t>
      </w:r>
      <w:r>
        <w:rPr>
          <w:lang w:eastAsia="en-US" w:bidi="en-US"/>
        </w:rPr>
        <w:t xml:space="preserve"> по 15 июня.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Строительство </w:t>
      </w:r>
      <w:r>
        <w:rPr>
          <w:lang w:eastAsia="en-US" w:bidi="en-US"/>
        </w:rPr>
        <w:t xml:space="preserve">проектируемых</w:t>
      </w:r>
      <w:r>
        <w:rPr>
          <w:lang w:eastAsia="en-US" w:bidi="en-US"/>
        </w:rPr>
        <w:t xml:space="preserve"> объектов предусмотрено в зимний период.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Проектируемые объекты расположены за пределами ЗСО подземных и поверхностных источников водоснабжения.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На строительной площадке отведены спе</w:t>
      </w:r>
      <w:r>
        <w:rPr>
          <w:lang w:eastAsia="en-US" w:bidi="en-US"/>
        </w:rPr>
        <w:t xml:space="preserve">циально обустроенные места для накопления отходов до момента их отправки на утилизацию на другое предприятие или на объект размещения отходов. Площадки для накопления отходов оборудованы таким образом, чтобы свести к минимуму загрязнение окружающей среды.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 сбо</w:t>
      </w:r>
      <w:r>
        <w:rPr>
          <w:lang w:eastAsia="en-US" w:bidi="en-US"/>
        </w:rPr>
        <w:t xml:space="preserve">ре отходов производится их сортировка по классам токсичности, консистенции, направлениям использования. Место и способ накопления отходов гарантируют сведение к минимуму риска возгорания отходов, недопущение захламления территории, удобство вывоза отходов.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Предусмотренные меры по обеспечению условий накопления отходов на этапе строительства соответствуют требованиям СанПиН 2.1.7.1322-03 «Гигиенические требования к размещению и обезвреживанию отходов производства и потребления».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Вопросы удаления всех образующихся отходов в период строительства будут решаться подряд</w:t>
      </w:r>
      <w:r>
        <w:rPr>
          <w:lang w:eastAsia="en-US" w:bidi="en-US"/>
        </w:rPr>
        <w:t xml:space="preserve">чиком. В ходе выполнения строительных работ отходы будут направляться на обработку, утилизацию, обезвреживание, размещение согласно договорам, заключенным подрядчиком со специализированными предприятиями, имеющими лицензию по обращению с опасными отходами.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Огарки сварочных электродов должны собираться после каждой рабочей смены и накапливаться в контейнерах до вывоза на утилизацию.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rStyle w:val="993"/>
          <w:bCs/>
        </w:rPr>
        <w:t xml:space="preserve">Т</w:t>
      </w:r>
      <w:r>
        <w:rPr>
          <w:rStyle w:val="993"/>
          <w:bCs/>
        </w:rPr>
        <w:t xml:space="preserve">вердые</w:t>
      </w:r>
      <w:r>
        <w:rPr>
          <w:rStyle w:val="993"/>
        </w:rPr>
        <w:t xml:space="preserve"> </w:t>
      </w:r>
      <w:r>
        <w:rPr>
          <w:rStyle w:val="993"/>
          <w:bCs/>
        </w:rPr>
        <w:t xml:space="preserve">коммунальные</w:t>
      </w:r>
      <w:r>
        <w:rPr>
          <w:rStyle w:val="993"/>
        </w:rPr>
        <w:t xml:space="preserve"> </w:t>
      </w:r>
      <w:r>
        <w:rPr>
          <w:rStyle w:val="993"/>
          <w:bCs/>
        </w:rPr>
        <w:t xml:space="preserve">отходы</w:t>
      </w:r>
      <w:r>
        <w:rPr>
          <w:lang w:eastAsia="en-US" w:bidi="en-US"/>
        </w:rPr>
        <w:t xml:space="preserve"> накапливаются в специальных металлических контейнерах, установленных на площадках с твердым покрытием, желательно огороженных с трех сторон.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Отходы ветоши должны накапливаться в металлических ящиках на удалении </w:t>
      </w:r>
      <w:r>
        <w:rPr>
          <w:lang w:eastAsia="en-US" w:bidi="en-US"/>
        </w:rPr>
        <w:t xml:space="preserve">                      </w:t>
      </w:r>
      <w:r>
        <w:rPr>
          <w:lang w:eastAsia="en-US" w:bidi="en-US"/>
        </w:rPr>
        <w:t xml:space="preserve">от источников возможного возгорания; должен быть предусмотрен еженедельный вывоз ветоши на обезвреживание. </w:t>
      </w:r>
      <w:r>
        <w:rPr>
          <w:lang w:eastAsia="en-US" w:bidi="en-US"/>
        </w:rPr>
      </w:r>
    </w:p>
    <w:p>
      <w:pPr>
        <w:pStyle w:val="994"/>
        <w:ind w:firstLine="709"/>
        <w:jc w:val="both"/>
        <w:spacing w:before="0" w:beforeAutospacing="0" w:after="0" w:afterAutospacing="0" w:line="288" w:lineRule="atLeast"/>
      </w:pPr>
      <w:r>
        <w:rPr>
          <w:lang w:eastAsia="en-US" w:bidi="en-US"/>
        </w:rPr>
        <w:t xml:space="preserve">Отходы передаются на обработку, утилизацию, обезвреживание, размещение. Согласно требованиям действующей редакции </w:t>
      </w:r>
      <w:r>
        <w:rPr>
          <w:lang w:eastAsia="en-US" w:bidi="en-US"/>
        </w:rPr>
        <w:t xml:space="preserve">Федерального закона от </w:t>
      </w:r>
      <w:r>
        <w:t xml:space="preserve">24 июня 1998 года             </w:t>
      </w:r>
      <w:r>
        <w:rPr>
          <w:lang w:eastAsia="en-US" w:bidi="en-US"/>
        </w:rPr>
        <w:t xml:space="preserve">№</w:t>
      </w:r>
      <w:r>
        <w:rPr>
          <w:lang w:eastAsia="en-US" w:bidi="en-US"/>
        </w:rPr>
        <w:t xml:space="preserve"> </w:t>
      </w:r>
      <w:r>
        <w:rPr>
          <w:lang w:eastAsia="en-US" w:bidi="en-US"/>
        </w:rPr>
        <w:t xml:space="preserve">89</w:t>
      </w:r>
      <w:r>
        <w:rPr>
          <w:lang w:eastAsia="en-US" w:bidi="en-US"/>
        </w:rPr>
        <w:t xml:space="preserve">-ФЗ </w:t>
      </w:r>
      <w:r>
        <w:rPr>
          <w:lang w:eastAsia="en-US" w:bidi="en-US"/>
        </w:rPr>
        <w:t xml:space="preserve">«</w:t>
      </w:r>
      <w:r>
        <w:rPr>
          <w:color w:val="000000"/>
          <w:spacing w:val="-4"/>
          <w:sz w:val="23"/>
          <w:szCs w:val="23"/>
        </w:rPr>
        <w:t xml:space="preserve">Об отходах производства и потребления</w:t>
      </w:r>
      <w:r>
        <w:rPr>
          <w:lang w:eastAsia="en-US" w:bidi="en-US"/>
        </w:rPr>
        <w:t xml:space="preserve">»</w:t>
      </w:r>
      <w:r>
        <w:rPr>
          <w:lang w:eastAsia="en-US" w:bidi="en-US"/>
        </w:rPr>
        <w:t xml:space="preserve">, </w:t>
      </w:r>
      <w:r>
        <w:rPr>
          <w:color w:val="000000"/>
          <w:spacing w:val="-4"/>
        </w:rPr>
        <w:t xml:space="preserve">Федерального закона от 04 мая 2011 года </w:t>
      </w:r>
      <w:r>
        <w:rPr>
          <w:color w:val="000000"/>
          <w:spacing w:val="-4"/>
        </w:rPr>
        <w:t xml:space="preserve">            </w:t>
      </w:r>
      <w:r>
        <w:rPr>
          <w:color w:val="000000"/>
          <w:spacing w:val="-4"/>
        </w:rPr>
        <w:t xml:space="preserve">№ 99-ФЗ «О лицензировании отдельных видов деятельности»</w:t>
      </w:r>
      <w:r>
        <w:rPr>
          <w:lang w:eastAsia="en-US" w:bidi="en-US"/>
        </w:rPr>
        <w:t xml:space="preserve"> лицензированию подлежат следующие виды деятельности: сбор, транспортирование, утилизация, обработка, обезвреживание, размещение.</w:t>
      </w:r>
      <w:r/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Промышленные отходы формируются в ходе технологического процесса. В период эксплуатации на площадках скважин места сбора и накопления отходов не предусмотрены.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Обращение с отходами в период эксплуатации заключается в следующем: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контроль за</w:t>
      </w:r>
      <w:r>
        <w:rPr>
          <w:lang w:eastAsia="en-US" w:bidi="en-US"/>
        </w:rPr>
        <w:t xml:space="preserve"> соблюдением нормативов и лимитов воздействий на окружающую среду, установленным соответствующими разрешениями;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организация и </w:t>
      </w:r>
      <w:r>
        <w:rPr>
          <w:lang w:eastAsia="en-US" w:bidi="en-US"/>
        </w:rPr>
        <w:t xml:space="preserve">контроль за</w:t>
      </w:r>
      <w:r>
        <w:rPr>
          <w:lang w:eastAsia="en-US" w:bidi="en-US"/>
        </w:rPr>
        <w:t xml:space="preserve"> процессами сбора, сортировки, накопления отходов;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ведение документации процесса обращения с отходами производства и потребления;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обязательный надзор за перемещениями отходов, местами их удаления и процессами безопасной ликвидации отходов на этапах их технологического цикла;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предупреждение вреда, наносимого окружающей среде в результате деятельности предприятия;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проверка соблюдения требований, условий, ограничений, установленных законами, иными нормативными правовыми актами, разрешительными документами в области охраны окружающей среды;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своевременное и оперативное устранение причин возможных аварийных ситуаций или их последствий, связанных с нарушением требований в области обращения с отходами</w:t>
      </w:r>
      <w:r>
        <w:rPr>
          <w:lang w:eastAsia="en-US" w:bidi="en-US"/>
        </w:rPr>
        <w:t xml:space="preserve">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обеспечение эффективной работы систем природоохранного оборудования, сре</w:t>
      </w:r>
      <w:r>
        <w:rPr>
          <w:lang w:eastAsia="en-US" w:bidi="en-US"/>
        </w:rPr>
        <w:t xml:space="preserve">дств пр</w:t>
      </w:r>
      <w:r>
        <w:rPr>
          <w:lang w:eastAsia="en-US" w:bidi="en-US"/>
        </w:rPr>
        <w:t xml:space="preserve">едупреждения и ликвидации последствий нарушения требований в области обращения с отходами.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Охрана недр обеспечивается: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предотвращением загрязнения территории при проведении работ;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удаление</w:t>
      </w:r>
      <w:r>
        <w:rPr>
          <w:lang w:eastAsia="en-US" w:bidi="en-US"/>
        </w:rPr>
        <w:t xml:space="preserve">м</w:t>
      </w:r>
      <w:r>
        <w:rPr>
          <w:lang w:eastAsia="en-US" w:bidi="en-US"/>
        </w:rPr>
        <w:t xml:space="preserve"> отходов после проведения работ.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Проектными решениями предусмотрены следующие мероприятия по охране недр и защите подземных вод: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герметизация технологического процесса;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материальное исполнение труб соответствует требованиям нормативных документов. Трубы и детали, применяемые в проектной документации, имеют сертификаты соответствия требованиям промышленной безопасности и разрешения </w:t>
      </w:r>
      <w:r>
        <w:rPr>
          <w:lang w:eastAsia="en-US" w:bidi="en-US"/>
        </w:rPr>
        <w:t xml:space="preserve">Ростехнадзора</w:t>
      </w:r>
      <w:r>
        <w:rPr>
          <w:lang w:eastAsia="en-US" w:bidi="en-US"/>
        </w:rPr>
        <w:t xml:space="preserve"> на применение.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Для строительства трубопровода водовода приняты стальные трубы бесшовные горячедеформированные по ГОСТ 8732-78 из стали 20 группы</w:t>
      </w:r>
      <w:r>
        <w:rPr>
          <w:lang w:eastAsia="en-US" w:bidi="en-US"/>
        </w:rPr>
        <w:t xml:space="preserve"> В</w:t>
      </w:r>
      <w:r>
        <w:rPr>
          <w:lang w:eastAsia="en-US" w:bidi="en-US"/>
        </w:rPr>
        <w:t xml:space="preserve"> по ГОСТ 8731-74 с внутренним и наружным антикоррозионным покрытием заводского </w:t>
      </w:r>
      <w:r>
        <w:rPr>
          <w:lang w:eastAsia="en-US" w:bidi="en-US"/>
        </w:rPr>
        <w:t xml:space="preserve">изготовления СВНП. Соединение секций труб с внутренним и наружным антикоррозионным покрытием на сварке с применением втулок различных конструкций. Срок эксплуатации трубопроводов с внутренним и наружным антикоррозионным покрытием заводского нанесения СВНП </w:t>
      </w:r>
      <w:r>
        <w:rPr>
          <w:lang w:eastAsia="en-US" w:bidi="en-US"/>
        </w:rPr>
        <w:t xml:space="preserve">-</w:t>
      </w:r>
      <w:r>
        <w:rPr>
          <w:lang w:eastAsia="en-US" w:bidi="en-US"/>
        </w:rPr>
        <w:t xml:space="preserve"> 25 лет согласно техническим условиям на изготовление труб.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После окончания монтажных и сварочных работ, контроля соединений секций труб неразрушающими методами трубопровод испытывается на прочность и проверяется на герметичность в соответствии с требованиями СП 34-116-97, ВНТП 3-85, ВСН 005-88, ВСН 011</w:t>
      </w:r>
      <w:r>
        <w:rPr>
          <w:lang w:eastAsia="en-US" w:bidi="en-US"/>
        </w:rPr>
        <w:t xml:space="preserve">-</w:t>
      </w:r>
      <w:r>
        <w:rPr>
          <w:lang w:eastAsia="en-US" w:bidi="en-US"/>
        </w:rPr>
        <w:t xml:space="preserve">88.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Дополнительно предусматриваются следующие мероприятия: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регулярный осмотр операторами состояния устьевой арматуры скважин и кустовых площадок на предмет утечек и разливов за </w:t>
      </w:r>
      <w:r>
        <w:rPr>
          <w:lang w:eastAsia="en-US" w:bidi="en-US"/>
        </w:rPr>
        <w:t xml:space="preserve">обваловку</w:t>
      </w:r>
      <w:r>
        <w:rPr>
          <w:lang w:eastAsia="en-US" w:bidi="en-US"/>
        </w:rPr>
        <w:t xml:space="preserve"> скважин, контроль целостности </w:t>
      </w:r>
      <w:r>
        <w:rPr>
          <w:lang w:eastAsia="en-US" w:bidi="en-US"/>
        </w:rPr>
        <w:t xml:space="preserve">обваловки</w:t>
      </w:r>
      <w:r>
        <w:rPr>
          <w:lang w:eastAsia="en-US" w:bidi="en-US"/>
        </w:rPr>
        <w:t xml:space="preserve"> скважин, устранение утечек и сбор загрязняющих веществ согласно штатному расписанию с регулярностью 1 раз в день;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регулирование отведения территории для нового строительства промышленных объектов, а также согласование изменений техноло</w:t>
      </w:r>
      <w:r>
        <w:rPr>
          <w:lang w:eastAsia="en-US" w:bidi="en-US"/>
        </w:rPr>
        <w:t xml:space="preserve">гий, связанных с повышением степени опасности загрязнения сточными водами источника водоснабжения (на стадии отвода земель под строительство скважин на месторождении требуется согласование органов санэпиднадзора, экологического и геологического контроля);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сброс сточных вод </w:t>
      </w:r>
      <w:r>
        <w:rPr>
          <w:lang w:eastAsia="en-US" w:bidi="en-US"/>
        </w:rPr>
        <w:t xml:space="preserve">от</w:t>
      </w:r>
      <w:r>
        <w:rPr>
          <w:lang w:eastAsia="en-US" w:bidi="en-US"/>
        </w:rPr>
        <w:t xml:space="preserve"> промысловых объектов не предусмотрен;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бурение новых скважин и новое строительство, связанное с нарушением почвенного покрова, производится при обязательном </w:t>
      </w:r>
      <w:r>
        <w:rPr>
          <w:lang w:eastAsia="en-US" w:bidi="en-US"/>
        </w:rPr>
        <w:t xml:space="preserve">согласовании</w:t>
      </w:r>
      <w:r>
        <w:rPr>
          <w:lang w:eastAsia="en-US" w:bidi="en-US"/>
        </w:rPr>
        <w:t xml:space="preserve"> с центром государственного санитарно-эпидемиологического надзора, в данном проекте бурение новых скважин не предусмотрено;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выполнение мероприятий по санитарному благоустройству территории объектов;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регламентирование порядка представления в пользование недр для добычи полезных ископаемых;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регламентирование различных видов хозяйственной или иной деятельности, оказывающих влияние на состояние подземных вод (включая источники нецентрализованного хозяйственно - питьевого водоснабжения), в том числе и на перспективу.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Для минимизации воздействия на растительный покров предусмотрены и будут осуществляться следующие мероприятия: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минимальное отчуждение земель для сохранения условий обитания животных;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проведение строительно-монтажных работ строго в границах отведенных участков;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применение строительных машин и механизмов, имеющих минимально возможное удельное давление ходовой части на подстилающие грунты;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использование только исправной техники;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исключение движения транспорта вне отведенных и обустроенных площадок и автодорог;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заправка автотранспорта в строго отведенных местах, которые обеспечены емкостями для сбора отработанных </w:t>
      </w:r>
      <w:r>
        <w:t xml:space="preserve">горюче-смазочны</w:t>
      </w:r>
      <w:r>
        <w:t xml:space="preserve">х</w:t>
      </w:r>
      <w:r>
        <w:t xml:space="preserve"> материал</w:t>
      </w:r>
      <w:r>
        <w:t xml:space="preserve">ов</w:t>
      </w:r>
      <w:r>
        <w:rPr>
          <w:lang w:eastAsia="en-US" w:bidi="en-US"/>
        </w:rPr>
        <w:t xml:space="preserve">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оборудование стационарных механизмов поддонами, предотвращающими загрязнение почв </w:t>
      </w:r>
      <w:r>
        <w:t xml:space="preserve">горюче-смазочн</w:t>
      </w:r>
      <w:r>
        <w:t xml:space="preserve">ыми</w:t>
      </w:r>
      <w:r>
        <w:t xml:space="preserve"> материал</w:t>
      </w:r>
      <w:r>
        <w:t xml:space="preserve">ами</w:t>
      </w:r>
      <w:r>
        <w:rPr>
          <w:lang w:eastAsia="en-US" w:bidi="en-US"/>
        </w:rPr>
        <w:t xml:space="preserve">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организация мест накопления бытовых и строительных отходов, их своевременный вывоз;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рекультивация земель, изъятых во временное пользование.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Охрана фауны, как неотъемлемой и составной части природной среды, будет производиться при реализации всего комплекса природоохранных мероприятий: воздушной и водной сред, ландшафтов, земель и растительности, т</w:t>
      </w:r>
      <w:r>
        <w:rPr>
          <w:lang w:eastAsia="en-US" w:bidi="en-US"/>
        </w:rPr>
        <w:t xml:space="preserve">о </w:t>
      </w:r>
      <w:r>
        <w:rPr>
          <w:lang w:eastAsia="en-US" w:bidi="en-US"/>
        </w:rPr>
        <w:t xml:space="preserve">е</w:t>
      </w:r>
      <w:r>
        <w:rPr>
          <w:lang w:eastAsia="en-US" w:bidi="en-US"/>
        </w:rPr>
        <w:t xml:space="preserve">сть</w:t>
      </w:r>
      <w:r>
        <w:rPr>
          <w:lang w:eastAsia="en-US" w:bidi="en-US"/>
        </w:rPr>
        <w:t xml:space="preserve"> среды обитания животных. Проектными решениями предложены следующие мероприятия, направленные на предотвращение коренных структурных преобразований населения животных: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исключение применение технологий и механизмов, которые могут вызвать массовую гибель объектов животного мира;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ограничение производства строительно-монтажных работ землеотводом;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осуществление строительных работ и производственных процессов только в пределах промплощадок, имеющих специальное ограждение;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размещение всех работающих механизмов в тепл</w:t>
      </w:r>
      <w:r>
        <w:rPr>
          <w:lang w:eastAsia="en-US" w:bidi="en-US"/>
        </w:rPr>
        <w:t xml:space="preserve">о-</w:t>
      </w:r>
      <w:r>
        <w:rPr>
          <w:lang w:eastAsia="en-US" w:bidi="en-US"/>
        </w:rPr>
        <w:t xml:space="preserve">, </w:t>
      </w:r>
      <w:r>
        <w:rPr>
          <w:lang w:eastAsia="en-US" w:bidi="en-US"/>
        </w:rPr>
        <w:t xml:space="preserve">шумо</w:t>
      </w:r>
      <w:r>
        <w:rPr>
          <w:lang w:eastAsia="en-US" w:bidi="en-US"/>
        </w:rPr>
        <w:t xml:space="preserve">-изоляционных блок-боксах заводского изготовления;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ограничение скорости движения транспортных сре</w:t>
      </w:r>
      <w:r>
        <w:rPr>
          <w:lang w:eastAsia="en-US" w:bidi="en-US"/>
        </w:rPr>
        <w:t xml:space="preserve">дств в пр</w:t>
      </w:r>
      <w:r>
        <w:rPr>
          <w:lang w:eastAsia="en-US" w:bidi="en-US"/>
        </w:rPr>
        <w:t xml:space="preserve">еделах полосы отвода, особенно с наступлением темного времени суток;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строгое соблюдение технологии производства работ;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снабжение сооружений системой защиты в целях предотвращения попадания в них животных;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засыпка ям полностью, в том числе вокруг столбов и свай, чтобы между ними и почвой не оставалось зазоров, так как ямы являются многолетними ловушками для мелких млекопитающих, земноводных, насекомых – кормовой базы птиц;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уборка остатков материалов, конструкций и строительного мусора по завершении строительства;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установка отпугивающих устройств и освещение площадок;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запрещение сброса неочищенных сточных вод в поверхностные водные объекты и на рельеф местности;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исключение загрязнения территории </w:t>
      </w:r>
      <w:r>
        <w:t xml:space="preserve">горюче-смазочны</w:t>
      </w:r>
      <w:r>
        <w:t xml:space="preserve">ми</w:t>
      </w:r>
      <w:r>
        <w:t xml:space="preserve"> материал</w:t>
      </w:r>
      <w:r>
        <w:t xml:space="preserve">ами</w:t>
      </w:r>
      <w:r>
        <w:rPr>
          <w:lang w:eastAsia="en-US" w:bidi="en-US"/>
        </w:rPr>
        <w:t xml:space="preserve">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проектной документации разработаны мероприятия, обеспечивающие безаварийные и безопасные условия эксплуатации объектов системы сбора, транспорта нефти и газа.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К этим мероприятиям относятся: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герметизация технологических процессов добычи, сбора, транспорта нефти и газа;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контроль, автоматизация и управление технологическими процессами;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применение оборудования заводского изготовления;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прокладка трубопроводов в единых технологических коридорах;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применение труб с внутренним и наружным антикоррозийным покрытием;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материальное исполнение оборудования, труб соответствует требованиям норма</w:t>
      </w:r>
      <w:r>
        <w:rPr>
          <w:lang w:eastAsia="en-US" w:bidi="en-US"/>
        </w:rPr>
        <w:t xml:space="preserve">тивных документов. Все технические средства, материалы и химические вещества, средства индивидуальной и коллективной защиты работников, применяемые в проектной документации, имеют сертификаты соответствия требованиям промышленной безопасности и разрешения </w:t>
      </w:r>
      <w:r>
        <w:rPr>
          <w:lang w:eastAsia="en-US" w:bidi="en-US"/>
        </w:rPr>
        <w:t xml:space="preserve">Ростехнадзора</w:t>
      </w:r>
      <w:r>
        <w:rPr>
          <w:lang w:eastAsia="en-US" w:bidi="en-US"/>
        </w:rPr>
        <w:t xml:space="preserve"> на применение;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соблюдение безопасных минимально допустимых расстояний между сооружениями в соответствии с действующими нормативами;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электрооборудование (машины, аппараты, устр</w:t>
      </w:r>
      <w:r>
        <w:rPr>
          <w:lang w:eastAsia="en-US" w:bidi="en-US"/>
        </w:rPr>
        <w:t xml:space="preserve">ойства), контрольно-измерительные приборы, электрические светильники, средства блокировки, телефонные аппараты и сигнальные устройства к ним, устанавливаемые во взрывоопасных зонах классов 1 и 2, должны быть во взрывозащищенном исполнении и иметь уровень в</w:t>
      </w:r>
      <w:r>
        <w:rPr>
          <w:lang w:eastAsia="en-US" w:bidi="en-US"/>
        </w:rPr>
        <w:t xml:space="preserve">зрывозащиты, отвечающий требованиям, предъявляемым ПУЭ-00, вид взрывозащиты - категории и группе взрывоопасной смеси. Электропроводки, токопроводы и кабельные линии, заземление электрооборудования должны быть выполнены в соответствии с требованиями ПУЭ-02;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обеспечение освещенности и отопления в соответствии с действующими нормами. Все шкафы, пульты, электропроводка, нормально не находящиеся под напряжением, а при аварийных </w:t>
      </w:r>
      <w:r>
        <w:rPr>
          <w:lang w:eastAsia="en-US" w:bidi="en-US"/>
        </w:rPr>
        <w:t xml:space="preserve">режимах</w:t>
      </w:r>
      <w:r>
        <w:rPr>
          <w:lang w:eastAsia="en-US" w:bidi="en-US"/>
        </w:rPr>
        <w:t xml:space="preserve"> могущие оказаться под напряжением, подлежат заземлению;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строгое соблюдение периодичности планово-предупредительных ремонтов и контроль технического состояния оборудования, труб и арматуры;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проверка исправности специальных устройств и приспособлений для пожаротушения и ликвидации возможных аварий, обучение обслуживающего персонала правилам работы с этими устройствами;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периодическое проведение учений по ликвидации возможных аварий и загораний.</w:t>
      </w:r>
      <w:r>
        <w:rPr>
          <w:lang w:eastAsia="en-US" w:bidi="en-US"/>
        </w:rPr>
      </w:r>
    </w:p>
    <w:p>
      <w:pPr>
        <w:contextualSpacing/>
        <w:ind w:firstLine="709"/>
        <w:jc w:val="both"/>
      </w:pPr>
      <w:r/>
      <w:r/>
    </w:p>
    <w:p>
      <w:pPr>
        <w:pStyle w:val="749"/>
        <w:ind w:left="0"/>
        <w:jc w:val="center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1.2.11. </w:t>
      </w:r>
      <w:r>
        <w:rPr>
          <w:rFonts w:ascii="Times New Roman" w:hAnsi="Times New Roman"/>
          <w:bCs/>
          <w:sz w:val="24"/>
          <w:szCs w:val="24"/>
        </w:rPr>
        <w:t xml:space="preserve">Комплекс организационно-технических мероприятий по обеспечению пожарной безопасности</w:t>
      </w:r>
      <w:r>
        <w:rPr>
          <w:rFonts w:ascii="Times New Roman" w:hAnsi="Times New Roman"/>
          <w:bCs/>
          <w:sz w:val="24"/>
          <w:szCs w:val="24"/>
        </w:rPr>
      </w:r>
    </w:p>
    <w:p>
      <w:pPr>
        <w:pStyle w:val="749"/>
        <w:ind w:left="1200"/>
        <w:jc w:val="center"/>
        <w:spacing w:after="0" w:line="240" w:lineRule="auto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</w:r>
      <w:r>
        <w:rPr>
          <w:rFonts w:ascii="Times New Roman" w:hAnsi="Times New Roman"/>
          <w:bCs/>
          <w:szCs w:val="24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К организационно-техническим мероприятиям по обеспечению пожарной безопасности </w:t>
      </w:r>
      <w:r>
        <w:rPr>
          <w:lang w:eastAsia="en-US" w:bidi="en-US"/>
        </w:rPr>
        <w:t xml:space="preserve">проектируемых</w:t>
      </w:r>
      <w:r>
        <w:rPr>
          <w:lang w:eastAsia="en-US" w:bidi="en-US"/>
        </w:rPr>
        <w:t xml:space="preserve"> объектов относятся: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ознакомление всех работающих с основными требованиями пожарной безопасности и мерами личной предосторожности, которые необходимо соблюдать при возникновении пожара, а также с планом эвакуации людей;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обозначение категорий по взрывопожарной и пожарной опасности на всех открытых технологических установках, сооружениях и зданиях, а также классов взрывоопасных и пожароопасных зон в соответствии с проектной документацией;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установк</w:t>
      </w:r>
      <w:r>
        <w:rPr>
          <w:lang w:eastAsia="en-US" w:bidi="en-US"/>
        </w:rPr>
        <w:t xml:space="preserve">а перед въездом на территорию объекта схемы организации движения автотранспортной техники с указанием основных сооружений, противопожарных проездов. Помимо схемы, на территории объектов установлены знаки пожарной безопасности в соответствии с требованиями </w:t>
      </w:r>
      <w:hyperlink r:id="rId17" w:tooltip="&quot;ГОСТ 12.4.026-2015 Система стандартов безопасности труда (ССБТ). Цвета ...&quot;&#10;(утв. приказом Росстандарта от 10.06.2016 N 614-ст)&#10;Применяется с ...&#10;Статус: действующая редакция (действ. с 01.01.2021)&#10;Применяется для целей технического регламента" w:history="1">
        <w:r>
          <w:rPr>
            <w:lang w:eastAsia="en-US" w:bidi="en-US"/>
          </w:rPr>
          <w:t xml:space="preserve">ГОСТ 12.4.026-2015</w:t>
        </w:r>
      </w:hyperlink>
      <w:r>
        <w:rPr>
          <w:lang w:eastAsia="en-US" w:bidi="en-US"/>
        </w:rPr>
        <w:t xml:space="preserve">. Перечень и расстановка знаков на территории проектируемого объекта приведены на чертежах;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дороги, проезды и подъезды к зданиям, наружным установкам,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поддержание на территории установленного противопожарного режима (запрет курения на территории, оборудовать рабочие места инструкциями, плакатами и знаками пожарной безопасности, обеспечивать четкий порядок проведения ремонтных и огневых работ);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не допускается загромождения подъездов, подходов и проходов к проектируемым объектам;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все работники организаций допускаются к работе только после прохождения первичного инструктажа, с дальнейшим прохождением периодических инструктажей, в т</w:t>
      </w:r>
      <w:r>
        <w:rPr>
          <w:lang w:eastAsia="en-US" w:bidi="en-US"/>
        </w:rPr>
        <w:t xml:space="preserve">ом </w:t>
      </w:r>
      <w:r>
        <w:rPr>
          <w:lang w:eastAsia="en-US" w:bidi="en-US"/>
        </w:rPr>
        <w:t xml:space="preserve">ч</w:t>
      </w:r>
      <w:r>
        <w:rPr>
          <w:lang w:eastAsia="en-US" w:bidi="en-US"/>
        </w:rPr>
        <w:t xml:space="preserve">исле</w:t>
      </w:r>
      <w:r>
        <w:rPr>
          <w:lang w:eastAsia="en-US" w:bidi="en-US"/>
        </w:rPr>
        <w:t xml:space="preserve"> по вопросам соблюдения требований пожарной безопасности, а при изменении специфики работы проходить дополнительное </w:t>
      </w:r>
      <w:r>
        <w:rPr>
          <w:lang w:eastAsia="en-US" w:bidi="en-US"/>
        </w:rPr>
        <w:t xml:space="preserve">обучение по</w:t>
      </w:r>
      <w:r>
        <w:rPr>
          <w:lang w:eastAsia="en-US" w:bidi="en-US"/>
        </w:rPr>
        <w:t xml:space="preserve"> пожарной безопасности, в т</w:t>
      </w:r>
      <w:r>
        <w:rPr>
          <w:lang w:eastAsia="en-US" w:bidi="en-US"/>
        </w:rPr>
        <w:t xml:space="preserve">ом </w:t>
      </w:r>
      <w:r>
        <w:rPr>
          <w:lang w:eastAsia="en-US" w:bidi="en-US"/>
        </w:rPr>
        <w:t xml:space="preserve">ч</w:t>
      </w:r>
      <w:r>
        <w:rPr>
          <w:lang w:eastAsia="en-US" w:bidi="en-US"/>
        </w:rPr>
        <w:t xml:space="preserve">исле</w:t>
      </w:r>
      <w:r>
        <w:rPr>
          <w:lang w:eastAsia="en-US" w:bidi="en-US"/>
        </w:rPr>
        <w:t xml:space="preserve">, по предупреждению и тушению возможных пожаров. Члены бригады, не прошедшие инструктаж, к работе не допускаются;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обслуживающий </w:t>
      </w:r>
      <w:r>
        <w:rPr>
          <w:lang w:eastAsia="en-US" w:bidi="en-US"/>
        </w:rPr>
        <w:t xml:space="preserve">персонал обучается правилам работы со специальными устройствами и приспособлениями для пожаротушения и ликвидации возможных аварий и первичными средствами пожаротушения, периодически необходимо производить учения по ликвидации возможных аварий и загораний;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принимать меры к устранению обнаруженных нарушений правил пожарной безопасности;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организации определяют порядок и сроки прохождения противопожарного инструктажа и занятий по пожарно-техническому минимуму, а также назначены ответственные за их проведение;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проверка исправности специальных устройств и приспособлений для пожаротушения и ликвидации возможных аварий;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ремонтно-восстановительное подразделение оснащается транспортными средствами, оборудованными искрогасителями, инструментом искробезопасного исполн</w:t>
      </w:r>
      <w:r>
        <w:rPr>
          <w:lang w:eastAsia="en-US" w:bidi="en-US"/>
        </w:rPr>
        <w:t xml:space="preserve">ения, необходимыми средствами пожаротушения, аптечкой, запасом чистой (питьевой) воды, герметичными контейнерами из негорючих материалов для транспортировки промасленной ветоши и замазученного песка к местам утилизации. Если во время ремонта будет обнаруже</w:t>
      </w:r>
      <w:r>
        <w:rPr>
          <w:lang w:eastAsia="en-US" w:bidi="en-US"/>
        </w:rPr>
        <w:t xml:space="preserve">но присутствие горючего продукта, работы, связанные с применением открытого огня, должны быть немедленно прекращены, люди удалены на безопасное расстояние. Ремонт возобновлять только после проверки, если она выявит отсутствие опасной концентрации продукта;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вокруг взрывопожароопасных объектов, расположенных на территории проектируемых объектов, необходимо своевременно очищать от горючих отходов, мусора, тары, опавших листьев, травы. Не допускается складирование (хранение) горючих материалов в указанной зоне;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запрещается на территории объекта разведение костров, выжигание травы, нефти;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не допускать </w:t>
      </w:r>
      <w:r>
        <w:rPr>
          <w:lang w:eastAsia="en-US" w:bidi="en-US"/>
        </w:rPr>
        <w:t xml:space="preserve">замазученность</w:t>
      </w:r>
      <w:r>
        <w:rPr>
          <w:lang w:eastAsia="en-US" w:bidi="en-US"/>
        </w:rPr>
        <w:t xml:space="preserve"> производственной территории и оборудования;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промасленный, либо пропитанный нефтью обтирочный материал необходимо собирать в специальные металлические контейнеры, исключающие искрообразование, с плотно закрывающимися крышками и удалять в специально отведенное место, </w:t>
      </w:r>
      <w:r>
        <w:rPr>
          <w:lang w:eastAsia="en-US" w:bidi="en-US"/>
        </w:rPr>
        <w:t xml:space="preserve">                              </w:t>
      </w:r>
      <w:r>
        <w:rPr>
          <w:lang w:eastAsia="en-US" w:bidi="en-US"/>
        </w:rPr>
        <w:t xml:space="preserve">с последующей утилизацией;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проливы </w:t>
      </w:r>
      <w:r>
        <w:rPr>
          <w:spacing w:val="-1"/>
        </w:rPr>
        <w:t xml:space="preserve">легковоспламеняюще</w:t>
      </w:r>
      <w:r>
        <w:rPr>
          <w:spacing w:val="-1"/>
        </w:rPr>
        <w:t xml:space="preserve">й</w:t>
      </w:r>
      <w:r>
        <w:rPr>
          <w:spacing w:val="-1"/>
        </w:rPr>
        <w:t xml:space="preserve">ся жидкости</w:t>
      </w:r>
      <w:r>
        <w:rPr>
          <w:lang w:eastAsia="en-US" w:bidi="en-US"/>
        </w:rPr>
        <w:t xml:space="preserve"> засыпаются песком, </w:t>
      </w:r>
      <w:r>
        <w:rPr>
          <w:lang w:eastAsia="en-US" w:bidi="en-US"/>
        </w:rPr>
        <w:t xml:space="preserve">замазученный</w:t>
      </w:r>
      <w:r>
        <w:rPr>
          <w:lang w:eastAsia="en-US" w:bidi="en-US"/>
        </w:rPr>
        <w:t xml:space="preserve"> песок собирается в герметичный контейнер;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противопожарные расстояния между зданиями и сооружениями не разрешается использовать под складирование материалов, для стоянки транспорта и строительства зданий и сооружений.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Установка знаков предусмотрена в соответствии с </w:t>
      </w:r>
      <w:hyperlink r:id="rId18" w:tooltip="&quot;ГОСТ 12.4.026-2015 Система стандартов безопасности труда (ССБТ). Цвета ...&quot;&#10;(утв. приказом Росстандарта от 10.06.2016 N 614-ст)&#10;Применяется с ...&#10;Статус: действующая редакция (действ. с 01.01.2021)&#10;Применяется для целей технического регламента" w:history="1">
        <w:r>
          <w:rPr>
            <w:lang w:eastAsia="en-US" w:bidi="en-US"/>
          </w:rPr>
          <w:t xml:space="preserve">ГОСТ 12.4.026-2015</w:t>
        </w:r>
      </w:hyperlink>
      <w:r>
        <w:rPr>
          <w:lang w:eastAsia="en-US" w:bidi="en-US"/>
        </w:rPr>
        <w:t xml:space="preserve">, </w:t>
      </w:r>
      <w:hyperlink r:id="rId19" w:tooltip="&quot;ГОСТ Р 52290-2004 Технические средства организации дорожного движения. Знаки дорожные. Общие ...&quot;&#10;(утв. приказом Росстандарта от 15.12.2004 N 121-ст)&#10;Статус: действующая редакция (действ. с 01.04.2020)" w:history="1">
        <w:r>
          <w:rPr>
            <w:lang w:eastAsia="en-US" w:bidi="en-US"/>
          </w:rPr>
          <w:t xml:space="preserve">ГОСТ </w:t>
        </w:r>
        <w:r>
          <w:rPr>
            <w:lang w:eastAsia="en-US" w:bidi="en-US"/>
          </w:rPr>
          <w:t xml:space="preserve">Р</w:t>
        </w:r>
        <w:r>
          <w:rPr>
            <w:lang w:eastAsia="en-US" w:bidi="en-US"/>
          </w:rPr>
          <w:t xml:space="preserve"> 52290-2004</w:t>
        </w:r>
      </w:hyperlink>
      <w:r>
        <w:rPr>
          <w:lang w:eastAsia="en-US" w:bidi="en-US"/>
        </w:rPr>
        <w:t xml:space="preserve">, МУК «Оборудование объектов Компании инженерно-техническими средствами охраны» № ПЗ-11.01 М-0003.</w:t>
      </w:r>
      <w:r>
        <w:rPr>
          <w:lang w:eastAsia="en-US" w:bidi="en-US"/>
        </w:rPr>
      </w:r>
    </w:p>
    <w:p>
      <w:pPr>
        <w:pStyle w:val="886"/>
        <w:contextualSpacing/>
        <w:jc w:val="center"/>
        <w:rPr>
          <w:lang w:eastAsia="en-US" w:bidi="en-US"/>
        </w:rPr>
      </w:pPr>
      <w:r>
        <w:rPr>
          <w:lang w:eastAsia="en-US" w:bidi="en-US"/>
        </w:rPr>
        <w:t xml:space="preserve">Порядок совместных действий персонала предприятия и подразделения пожарной охраны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 обнаружении пожара работники, обслуживающие проектируемые объекты, обязаны: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немедленно вызвать пожарную часть;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организовать встречу пожарного подразделения и оказать ему содействие;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сообщить дежурному диспетчеру;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вызвать к месту пожара старшего по объекту;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принять меры по ликвидации пожара первичными средствами.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Старший по объекту, прибывший к месту пожара, убедившись, что пожарная часть вызвана, обязан: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продублировать сообщение в пожарную часть, диспетчеру цеха;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сообщить о пожаре руководству предприятия;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организовать встречу пожарного подразделения и оказывать ему содействие;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удалить из опасной зоны сотрудников, не занятых ликвидацией пожара;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отключить электроэнергию, перекрыть инженерные коммуникации, остановить работу агрегатов и инженерных систем;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прекратить в пожароопасной зоне все работы, не связанные с тушением пожара;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в случае создания опасной ситуации, организовать спасение и эвакуацию </w:t>
      </w:r>
      <w:r>
        <w:rPr>
          <w:lang w:eastAsia="en-US" w:bidi="en-US"/>
        </w:rPr>
        <w:t xml:space="preserve">работающих</w:t>
      </w:r>
      <w:r>
        <w:rPr>
          <w:lang w:eastAsia="en-US" w:bidi="en-US"/>
        </w:rPr>
        <w:t xml:space="preserve">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руководить тушением пожара с использованием первичных средств;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Общее руководство по тушению пожара до прибытия пожарного подразделения осуществляет старший по объекту, который обязан: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обеспечить защиту людей, принимающих участие в тушении пожара, от поражения электрическим током, отравления, ожогов;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контролировать и соблюдать технику безопасности при тушении пожара;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организовать оказание неотложной медицинской помощи пострадавшим, вызвать скорую помощь при наличии пострадавших. 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При прибытии пожарного подразделения старший по объекту, руководивший тушением пожара, обязан: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сообщить </w:t>
      </w:r>
      <w:r>
        <w:rPr>
          <w:lang w:eastAsia="en-US" w:bidi="en-US"/>
        </w:rPr>
        <w:t xml:space="preserve">старшему</w:t>
      </w:r>
      <w:r>
        <w:rPr>
          <w:lang w:eastAsia="en-US" w:bidi="en-US"/>
        </w:rPr>
        <w:t xml:space="preserve"> пожарного подразделения необходимые сведения об особенностях горящего объекта и о ходе тушения пожара;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обеспечить безопасность работы пожарного подразделения от поражения электрическим током и других факторов.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Старший прибывшего пожарного подразделения организует штаб тушения пожара. </w:t>
      </w:r>
      <w:r>
        <w:rPr>
          <w:lang w:eastAsia="en-US" w:bidi="en-US"/>
        </w:rPr>
        <w:t xml:space="preserve">             </w:t>
      </w:r>
      <w:r>
        <w:rPr>
          <w:lang w:eastAsia="en-US" w:bidi="en-US"/>
        </w:rPr>
        <w:t xml:space="preserve">В состав штаба включаются ответственные представители предприятия.</w:t>
      </w:r>
      <w:r>
        <w:rPr>
          <w:lang w:eastAsia="en-US" w:bidi="en-US"/>
        </w:rPr>
      </w:r>
    </w:p>
    <w:p>
      <w:pPr>
        <w:contextualSpacing/>
        <w:ind w:firstLine="708"/>
        <w:jc w:val="both"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pStyle w:val="749"/>
        <w:ind w:left="0"/>
        <w:jc w:val="center"/>
        <w:spacing w:after="0" w:line="240" w:lineRule="auto"/>
        <w:rPr>
          <w:rFonts w:ascii="Times New Roman" w:hAnsi="Times New Roman"/>
          <w:bCs/>
          <w:sz w:val="24"/>
          <w:szCs w:val="24"/>
        </w:rPr>
      </w:pPr>
      <w:r/>
      <w:bookmarkStart w:id="38" w:name="_Toc77865195"/>
      <w:r>
        <w:rPr>
          <w:rFonts w:ascii="Times New Roman" w:hAnsi="Times New Roman"/>
          <w:bCs/>
          <w:sz w:val="24"/>
          <w:szCs w:val="24"/>
        </w:rPr>
        <w:t xml:space="preserve">1.2.12. </w:t>
      </w:r>
      <w:r>
        <w:rPr>
          <w:rFonts w:ascii="Times New Roman" w:hAnsi="Times New Roman"/>
          <w:bCs/>
          <w:sz w:val="24"/>
          <w:szCs w:val="24"/>
        </w:rPr>
        <w:t xml:space="preserve">Перечень мероприятий по гражданской обороне</w:t>
      </w:r>
      <w:bookmarkEnd w:id="38"/>
      <w:r/>
      <w:r>
        <w:rPr>
          <w:rFonts w:ascii="Times New Roman" w:hAnsi="Times New Roman"/>
          <w:bCs/>
          <w:sz w:val="24"/>
          <w:szCs w:val="24"/>
        </w:rPr>
      </w:r>
    </w:p>
    <w:p>
      <w:pPr>
        <w:pStyle w:val="749"/>
        <w:ind w:left="0"/>
        <w:jc w:val="center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Показатели для отнесения организаций к категориям по гражданской обороне утверждены приказом </w:t>
      </w:r>
      <w:r>
        <w:rPr>
          <w:color w:val="000000"/>
          <w:shd w:val="clear" w:color="auto" w:fill="ffffff"/>
        </w:rPr>
        <w:t xml:space="preserve">Министерства Российской Федерации по делам гражданской обороны, </w:t>
      </w:r>
      <w:r>
        <w:rPr>
          <w:color w:val="000000"/>
          <w:shd w:val="clear" w:color="auto" w:fill="ffffff"/>
        </w:rPr>
        <w:t xml:space="preserve">чрезвычайным ситуациям и ликвидации последствий стихийных бедствий</w:t>
      </w:r>
      <w:r>
        <w:rPr>
          <w:lang w:eastAsia="en-US" w:bidi="en-US"/>
        </w:rPr>
        <w:t xml:space="preserve"> </w:t>
      </w:r>
      <w:r>
        <w:rPr>
          <w:lang w:eastAsia="en-US" w:bidi="en-US"/>
        </w:rPr>
        <w:t xml:space="preserve">от 28</w:t>
      </w:r>
      <w:r>
        <w:rPr>
          <w:lang w:eastAsia="en-US" w:bidi="en-US"/>
        </w:rPr>
        <w:t xml:space="preserve"> ноября              </w:t>
      </w:r>
      <w:r>
        <w:rPr>
          <w:lang w:eastAsia="en-US" w:bidi="en-US"/>
        </w:rPr>
        <w:t xml:space="preserve">2016</w:t>
      </w:r>
      <w:r>
        <w:rPr>
          <w:lang w:eastAsia="en-US" w:bidi="en-US"/>
        </w:rPr>
        <w:t xml:space="preserve"> года </w:t>
      </w:r>
      <w:r>
        <w:rPr>
          <w:lang w:eastAsia="en-US" w:bidi="en-US"/>
        </w:rPr>
        <w:t xml:space="preserve">№</w:t>
      </w:r>
      <w:r>
        <w:rPr>
          <w:lang w:eastAsia="en-US" w:bidi="en-US"/>
        </w:rPr>
        <w:t xml:space="preserve"> </w:t>
      </w:r>
      <w:r>
        <w:rPr>
          <w:lang w:eastAsia="en-US" w:bidi="en-US"/>
        </w:rPr>
        <w:t xml:space="preserve">632ДСП. Категория по гражданской обороне устанавливается для организации по наивысшему показателю ее обособленных подразделений вне зависимости от ее месторасположения.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По исходным данным и требованиям, подлежащим уч</w:t>
      </w:r>
      <w:r>
        <w:rPr>
          <w:lang w:eastAsia="en-US" w:bidi="en-US"/>
        </w:rPr>
        <w:t xml:space="preserve">е</w:t>
      </w:r>
      <w:r>
        <w:rPr>
          <w:lang w:eastAsia="en-US" w:bidi="en-US"/>
        </w:rPr>
        <w:t xml:space="preserve">ту при разработке мероприятий по гражданской обороне, мероприятий по предупреждению чрезвычайных ситуаций природного и техногенного характера в составе проектной документации от Главного управления </w:t>
      </w:r>
      <w:r>
        <w:rPr>
          <w:color w:val="000000"/>
          <w:shd w:val="clear" w:color="auto" w:fill="ffffff"/>
        </w:rPr>
        <w:t xml:space="preserve">Министерства Российской Федерации по делам гражданской обороны, чрезвычайным ситуациям и ликвидации последствий стихийных бедствий</w:t>
      </w:r>
      <w:r>
        <w:rPr>
          <w:color w:val="000000"/>
          <w:shd w:val="clear" w:color="auto" w:fill="ffffff"/>
        </w:rPr>
        <w:t xml:space="preserve">                      </w:t>
      </w:r>
      <w:r>
        <w:rPr>
          <w:lang w:eastAsia="en-US" w:bidi="en-US"/>
        </w:rPr>
        <w:t xml:space="preserve"> проектируемый объект категорию по гражданской обороне не имеет.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Для управ</w:t>
      </w:r>
      <w:r>
        <w:rPr>
          <w:lang w:eastAsia="en-US" w:bidi="en-US"/>
        </w:rPr>
        <w:t xml:space="preserve">ления гражданской обороной в соответствии с полномочиями в области гражданской обороны создаются и поддерживаются в постоянной готовности системы оповещения, связи и автоматизированные системы управления гражданской обороны, осуществляется их модернизации.</w:t>
      </w:r>
      <w:r>
        <w:rPr>
          <w:lang w:eastAsia="en-US" w:bidi="en-US"/>
        </w:rPr>
      </w:r>
    </w:p>
    <w:p>
      <w:pPr>
        <w:pStyle w:val="886"/>
        <w:contextualSpacing/>
        <w:rPr>
          <w:lang w:eastAsia="en-US" w:bidi="en-US"/>
        </w:rPr>
      </w:pPr>
      <w:r>
        <w:rPr>
          <w:lang w:eastAsia="en-US" w:bidi="en-US"/>
        </w:rPr>
        <w:t xml:space="preserve">Повышение эффективности защиты производственных фондов проектируемого</w:t>
      </w:r>
      <w:r>
        <w:rPr>
          <w:lang w:eastAsia="en-US" w:bidi="en-US"/>
        </w:rPr>
        <w:t xml:space="preserve"> объекта достигается путем заблаговременного проведения мероприятий, направленных на снижение возможных потерь и разрушений от поражающих факторов, создание условий для ликвидации последствий и осуществления в сжатые сроки работ по восстановлению объекта. </w:t>
      </w:r>
      <w:r>
        <w:rPr>
          <w:lang w:eastAsia="en-US" w:bidi="en-US"/>
        </w:rPr>
      </w:r>
    </w:p>
    <w:p>
      <w:pPr>
        <w:contextualSpacing/>
        <w:ind w:firstLine="709"/>
      </w:pPr>
      <w:r/>
      <w:r/>
    </w:p>
    <w:p>
      <w:pPr>
        <w:pStyle w:val="749"/>
        <w:ind w:left="0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 xml:space="preserve">Основная час</w:t>
      </w:r>
      <w:r>
        <w:rPr>
          <w:rFonts w:ascii="Times New Roman" w:hAnsi="Times New Roman"/>
          <w:sz w:val="24"/>
          <w:szCs w:val="24"/>
        </w:rPr>
        <w:t xml:space="preserve">ть проекта межевания территории</w:t>
      </w:r>
      <w:r>
        <w:rPr>
          <w:rFonts w:ascii="Times New Roman" w:hAnsi="Times New Roman"/>
          <w:sz w:val="24"/>
          <w:szCs w:val="24"/>
        </w:rPr>
      </w:r>
    </w:p>
    <w:p>
      <w:pPr>
        <w:pStyle w:val="749"/>
        <w:ind w:left="0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contextualSpacing/>
        <w:jc w:val="center"/>
      </w:pPr>
      <w:r>
        <w:t xml:space="preserve">Текстовая часть </w:t>
      </w:r>
      <w:r/>
    </w:p>
    <w:p>
      <w:pPr>
        <w:contextualSpacing/>
        <w:jc w:val="center"/>
      </w:pPr>
      <w:r/>
      <w:r/>
    </w:p>
    <w:p>
      <w:pPr>
        <w:pStyle w:val="889"/>
        <w:numPr>
          <w:ilvl w:val="0"/>
          <w:numId w:val="0"/>
        </w:numPr>
        <w:contextualSpacing/>
        <w:ind w:left="360" w:hanging="360"/>
        <w:jc w:val="center"/>
        <w:rPr>
          <w:b w:val="0"/>
          <w:color w:val="000000"/>
        </w:rPr>
      </w:pPr>
      <w:r>
        <w:rPr>
          <w:b w:val="0"/>
          <w:color w:val="000000"/>
        </w:rPr>
        <w:t xml:space="preserve">2.1. </w:t>
      </w:r>
      <w:r>
        <w:rPr>
          <w:b w:val="0"/>
          <w:color w:val="000000"/>
        </w:rPr>
        <w:t xml:space="preserve">Перечень и сведения об образуемых земельных участках</w:t>
      </w:r>
      <w:r>
        <w:rPr>
          <w:b w:val="0"/>
          <w:color w:val="000000"/>
        </w:rPr>
      </w:r>
    </w:p>
    <w:p>
      <w:pPr>
        <w:contextualSpacing/>
      </w:pPr>
      <w:r/>
      <w:r/>
    </w:p>
    <w:p>
      <w:pPr>
        <w:contextualSpacing/>
        <w:ind w:firstLine="709"/>
        <w:spacing w:after="200"/>
        <w:rPr>
          <w:color w:val="000000"/>
        </w:rPr>
      </w:pPr>
      <w:r>
        <w:rPr>
          <w:color w:val="000000"/>
        </w:rPr>
        <w:t xml:space="preserve">Характеристика </w:t>
      </w:r>
      <w:r>
        <w:rPr>
          <w:color w:val="000000"/>
        </w:rPr>
        <w:t xml:space="preserve">образуемых</w:t>
      </w:r>
      <w:r>
        <w:rPr>
          <w:color w:val="000000"/>
        </w:rPr>
        <w:t xml:space="preserve"> земельных участков представлена в таблице </w:t>
      </w:r>
      <w:r>
        <w:rPr>
          <w:color w:val="000000"/>
        </w:rPr>
        <w:t xml:space="preserve">7</w:t>
      </w:r>
      <w:r>
        <w:rPr>
          <w:color w:val="000000"/>
        </w:rPr>
        <w:t xml:space="preserve">.</w:t>
      </w:r>
      <w:r>
        <w:rPr>
          <w:color w:val="000000"/>
        </w:rPr>
      </w:r>
    </w:p>
    <w:p>
      <w:pPr>
        <w:contextualSpacing/>
        <w:spacing w:after="200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contextualSpacing/>
        <w:jc w:val="right"/>
        <w:rPr>
          <w:color w:val="000000"/>
        </w:rPr>
      </w:pPr>
      <w:r>
        <w:rPr>
          <w:color w:val="000000"/>
        </w:rPr>
        <w:t xml:space="preserve">Таблица </w:t>
      </w:r>
      <w:r>
        <w:rPr>
          <w:color w:val="000000"/>
        </w:rPr>
        <w:t xml:space="preserve">7</w:t>
      </w:r>
      <w:r>
        <w:rPr>
          <w:color w:val="000000"/>
        </w:rPr>
      </w:r>
    </w:p>
    <w:p>
      <w:pPr>
        <w:contextualSpacing/>
        <w:jc w:val="right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contextualSpacing/>
        <w:jc w:val="center"/>
        <w:rPr>
          <w:color w:val="000000"/>
        </w:rPr>
      </w:pPr>
      <w:r>
        <w:rPr>
          <w:color w:val="000000"/>
        </w:rPr>
        <w:t xml:space="preserve">Перечень и сведения об образуемых земельных участк</w:t>
      </w:r>
      <w:r>
        <w:rPr>
          <w:color w:val="000000"/>
        </w:rPr>
        <w:t xml:space="preserve">ах</w:t>
      </w:r>
      <w:r>
        <w:rPr>
          <w:color w:val="000000"/>
        </w:rPr>
      </w:r>
    </w:p>
    <w:p>
      <w:pPr>
        <w:contextualSpacing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tbl>
      <w:tblPr>
        <w:tblW w:w="9771" w:type="dxa"/>
        <w:jc w:val="center"/>
        <w:tblLayout w:type="fixed"/>
        <w:tblLook w:val="04A0" w:firstRow="1" w:lastRow="0" w:firstColumn="1" w:lastColumn="0" w:noHBand="0" w:noVBand="1"/>
      </w:tblPr>
      <w:tblGrid>
        <w:gridCol w:w="1575"/>
        <w:gridCol w:w="1559"/>
        <w:gridCol w:w="967"/>
        <w:gridCol w:w="993"/>
        <w:gridCol w:w="889"/>
        <w:gridCol w:w="1662"/>
        <w:gridCol w:w="863"/>
        <w:gridCol w:w="1263"/>
      </w:tblGrid>
      <w:tr>
        <w:tblPrEx/>
        <w:trPr>
          <w:jc w:val="center"/>
          <w:trHeight w:val="68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Условный номер </w:t>
            </w:r>
            <w:r>
              <w:rPr>
                <w:color w:val="000000"/>
                <w:sz w:val="16"/>
                <w:szCs w:val="16"/>
              </w:rPr>
              <w:t xml:space="preserve">образуемого</w:t>
            </w:r>
            <w:r>
              <w:rPr>
                <w:color w:val="000000"/>
                <w:sz w:val="16"/>
                <w:szCs w:val="16"/>
              </w:rPr>
              <w:t xml:space="preserve"> ЗУ/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Кадастровый номер ЗУ, из которого образуется ЗУ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59" w:type="dxa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Назначение ЗУ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28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Площадь участка, га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662" w:type="dxa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Вид разре</w:t>
            </w:r>
            <w:r>
              <w:rPr>
                <w:color w:val="000000"/>
                <w:sz w:val="16"/>
                <w:szCs w:val="16"/>
              </w:rPr>
              <w:t xml:space="preserve">шенного использования/проект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863" w:type="dxa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Категория земель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263" w:type="dxa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Примечание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всего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во врем</w:t>
            </w:r>
            <w:r>
              <w:rPr>
                <w:color w:val="000000"/>
                <w:sz w:val="16"/>
                <w:szCs w:val="16"/>
              </w:rPr>
              <w:t xml:space="preserve">.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 </w:t>
            </w:r>
            <w:r>
              <w:rPr>
                <w:color w:val="000000"/>
                <w:sz w:val="16"/>
                <w:szCs w:val="16"/>
              </w:rPr>
              <w:t xml:space="preserve">долгоср</w:t>
            </w:r>
            <w:r>
              <w:rPr>
                <w:color w:val="000000"/>
                <w:sz w:val="16"/>
                <w:szCs w:val="16"/>
              </w:rPr>
              <w:t xml:space="preserve">.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662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86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26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  <w:tblHeader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8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771" w:type="dxa"/>
            <w:vAlign w:val="center"/>
            <w:textDirection w:val="lrTb"/>
            <w:noWrap w:val="false"/>
          </w:tcPr>
          <w:p>
            <w:pPr>
              <w:pStyle w:val="749"/>
              <w:ind w:left="0"/>
              <w:jc w:val="center"/>
              <w:spacing w:after="0" w:line="240" w:lineRule="auto"/>
              <w:rPr>
                <w:rFonts w:ascii="Times New Roman" w:hAnsi="Times New Roman" w:eastAsia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Российская Федерация ХМАО-Югра, Кондинский район, Кондинское лесничество,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Болчаровское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участковое лесничество,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Болчаровское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урочище</w:t>
            </w:r>
            <w:r>
              <w:rPr>
                <w:rFonts w:ascii="Times New Roman" w:hAnsi="Times New Roman" w:eastAsia="Times New Roman"/>
                <w:bCs/>
                <w:color w:val="000000"/>
                <w:sz w:val="16"/>
                <w:szCs w:val="16"/>
                <w:lang w:eastAsia="ru-RU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8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771" w:type="dxa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86:01:0603001 (Земли лесного фонда)</w:t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Ку</w:t>
            </w:r>
            <w:r>
              <w:rPr>
                <w:color w:val="000000"/>
                <w:sz w:val="16"/>
                <w:szCs w:val="16"/>
              </w:rPr>
              <w:t xml:space="preserve">ст скв</w:t>
            </w:r>
            <w:r>
              <w:rPr>
                <w:color w:val="000000"/>
                <w:sz w:val="16"/>
                <w:szCs w:val="16"/>
              </w:rPr>
              <w:t xml:space="preserve">ажин № 40 (обустр</w:t>
            </w:r>
            <w:r>
              <w:rPr>
                <w:color w:val="000000"/>
                <w:sz w:val="16"/>
                <w:szCs w:val="16"/>
              </w:rPr>
              <w:t xml:space="preserve">ойство)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3,7566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3,7566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Осуществление геологи</w:t>
            </w:r>
            <w:r>
              <w:rPr>
                <w:color w:val="000000"/>
                <w:sz w:val="16"/>
                <w:szCs w:val="16"/>
              </w:rPr>
              <w:t xml:space="preserve">ческого изучения недр, разведка и добыча полезных ископаемых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Земли лесного фонда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Merge w:val="restart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</w:t>
            </w:r>
            <w:r>
              <w:rPr>
                <w:color w:val="000000"/>
                <w:sz w:val="16"/>
                <w:szCs w:val="16"/>
              </w:rPr>
              <w:t xml:space="preserve">использования</w:t>
            </w:r>
            <w:r>
              <w:rPr>
                <w:color w:val="000000"/>
                <w:sz w:val="16"/>
                <w:szCs w:val="16"/>
              </w:rPr>
              <w:t xml:space="preserve">:у</w:t>
            </w:r>
            <w:r>
              <w:rPr>
                <w:color w:val="000000"/>
                <w:sz w:val="16"/>
                <w:szCs w:val="16"/>
              </w:rPr>
              <w:t xml:space="preserve">часток</w:t>
            </w:r>
            <w:r>
              <w:rPr>
                <w:color w:val="000000"/>
                <w:sz w:val="16"/>
                <w:szCs w:val="16"/>
              </w:rPr>
              <w:t xml:space="preserve"> лесного фонда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Ку</w:t>
            </w:r>
            <w:r>
              <w:rPr>
                <w:color w:val="000000"/>
                <w:sz w:val="16"/>
                <w:szCs w:val="16"/>
              </w:rPr>
              <w:t xml:space="preserve">ст скв</w:t>
            </w:r>
            <w:r>
              <w:rPr>
                <w:color w:val="000000"/>
                <w:sz w:val="16"/>
                <w:szCs w:val="16"/>
              </w:rPr>
              <w:t xml:space="preserve">ажин № 40 (бурение)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4,0321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4,0321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Ку</w:t>
            </w:r>
            <w:r>
              <w:rPr>
                <w:color w:val="000000"/>
                <w:sz w:val="16"/>
                <w:szCs w:val="16"/>
              </w:rPr>
              <w:t xml:space="preserve">ст скв</w:t>
            </w:r>
            <w:r>
              <w:rPr>
                <w:color w:val="000000"/>
                <w:sz w:val="16"/>
                <w:szCs w:val="16"/>
              </w:rPr>
              <w:t xml:space="preserve">ажин № 40 Противопожарная вырубка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</w:t>
            </w:r>
            <w:r>
              <w:rPr>
                <w:sz w:val="16"/>
                <w:szCs w:val="16"/>
              </w:rPr>
              <w:t xml:space="preserve">,</w:t>
            </w:r>
            <w:r>
              <w:rPr>
                <w:sz w:val="16"/>
                <w:szCs w:val="16"/>
              </w:rPr>
              <w:t xml:space="preserve">9979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3</w:t>
            </w:r>
            <w:r>
              <w:rPr>
                <w:bCs/>
                <w:color w:val="000000"/>
                <w:sz w:val="16"/>
                <w:szCs w:val="16"/>
              </w:rPr>
              <w:t xml:space="preserve">,</w:t>
            </w:r>
            <w:r>
              <w:rPr>
                <w:bCs/>
                <w:color w:val="000000"/>
                <w:sz w:val="16"/>
                <w:szCs w:val="16"/>
              </w:rPr>
              <w:t xml:space="preserve">9979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Автомобильная дорога на ку</w:t>
            </w:r>
            <w:r>
              <w:rPr>
                <w:color w:val="000000"/>
                <w:sz w:val="16"/>
                <w:szCs w:val="16"/>
              </w:rPr>
              <w:t xml:space="preserve">ст скв</w:t>
            </w:r>
            <w:r>
              <w:rPr>
                <w:color w:val="000000"/>
                <w:sz w:val="16"/>
                <w:szCs w:val="16"/>
              </w:rPr>
              <w:t xml:space="preserve">ажин № 40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0,7018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0,7018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Строительство, реконструкция, эксплуатация линейных объектов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263" w:type="dxa"/>
            <w:vMerge w:val="restart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использования: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осуществление геологи</w:t>
            </w:r>
            <w:r>
              <w:rPr>
                <w:color w:val="000000"/>
                <w:sz w:val="16"/>
                <w:szCs w:val="16"/>
              </w:rPr>
              <w:t xml:space="preserve">ческого изучения недр, разведка и добыча полезных ископаемых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0,1209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0,1209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1,8982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1,8982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1,2519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1,2519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Merge w:val="restart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</w:t>
            </w:r>
            <w:r>
              <w:rPr>
                <w:color w:val="000000"/>
                <w:sz w:val="16"/>
                <w:szCs w:val="16"/>
              </w:rPr>
              <w:t xml:space="preserve">использования: </w:t>
            </w:r>
            <w:r>
              <w:rPr>
                <w:color w:val="000000"/>
                <w:sz w:val="16"/>
                <w:szCs w:val="16"/>
              </w:rPr>
              <w:t xml:space="preserve">участок</w:t>
            </w:r>
            <w:r>
              <w:rPr>
                <w:color w:val="000000"/>
                <w:sz w:val="16"/>
                <w:szCs w:val="16"/>
              </w:rPr>
              <w:t xml:space="preserve"> лесного фонда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86:01:0000000:10622:ЗУ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0,0002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0,0002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ВЛ</w:t>
            </w:r>
            <w:r>
              <w:rPr>
                <w:color w:val="000000"/>
                <w:sz w:val="16"/>
                <w:szCs w:val="16"/>
              </w:rPr>
              <w:t xml:space="preserve"> 10 </w:t>
            </w:r>
            <w:r>
              <w:rPr>
                <w:color w:val="000000"/>
                <w:sz w:val="16"/>
                <w:szCs w:val="16"/>
              </w:rPr>
              <w:t xml:space="preserve">кВ</w:t>
            </w:r>
            <w:r>
              <w:rPr>
                <w:color w:val="000000"/>
                <w:sz w:val="16"/>
                <w:szCs w:val="16"/>
              </w:rPr>
              <w:t xml:space="preserve"> до кустовой площадки № 40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1,0847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1,0847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662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Строительство, реконструкция, эксплуатация линейных объектов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263" w:type="dxa"/>
            <w:vMerge w:val="restart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</w:t>
            </w:r>
            <w:r>
              <w:rPr>
                <w:color w:val="000000"/>
                <w:sz w:val="16"/>
                <w:szCs w:val="16"/>
              </w:rPr>
              <w:t xml:space="preserve">использования: осуществление</w:t>
            </w:r>
            <w:r>
              <w:rPr>
                <w:color w:val="000000"/>
                <w:sz w:val="16"/>
                <w:szCs w:val="16"/>
              </w:rPr>
              <w:t xml:space="preserve"> геологического изучения недр, разведка и добыча полезных ископаемых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0,2092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0,2092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2,6848</w:t>
            </w:r>
            <w:r>
              <w:rPr>
                <w:sz w:val="16"/>
                <w:szCs w:val="16"/>
              </w:rPr>
            </w:r>
          </w:p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2,6848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1,8565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1,8565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263" w:type="dxa"/>
            <w:vMerge w:val="restart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использования: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участок лесного фонда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86:01:0000000:10622:ЗУ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0,0002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0,0002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86:01:0603001:515:ЗУ3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Нефтегазосборный трубопровод от кустовой площадки № 40 до т.35а; Высоконапорный водовод от  т.34 до кустовой площадки №40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0,8151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0,8151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Строительство, реконструкция, эксплуатация линейных объектов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263" w:type="dxa"/>
            <w:vMerge w:val="restart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использования: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осуществление геологи</w:t>
            </w:r>
            <w:r>
              <w:rPr>
                <w:color w:val="000000"/>
                <w:sz w:val="16"/>
                <w:szCs w:val="16"/>
              </w:rPr>
              <w:t xml:space="preserve">ческого изучения недр, разведка и добыча полезных ископаемых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86:01:0603001:526:ЗУ3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0,1463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0,1463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86:01:0603001:516:ЗУ3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2,6596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2,6596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86:01:0603001:2503:ЗУ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</w:t>
            </w:r>
            <w:r>
              <w:rPr>
                <w:sz w:val="16"/>
                <w:szCs w:val="16"/>
              </w:rPr>
              <w:t xml:space="preserve">9641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</w:t>
            </w:r>
            <w:r>
              <w:rPr>
                <w:bCs/>
                <w:color w:val="000000"/>
                <w:sz w:val="16"/>
                <w:szCs w:val="16"/>
              </w:rPr>
              <w:t xml:space="preserve">,</w:t>
            </w:r>
            <w:r>
              <w:rPr>
                <w:bCs/>
                <w:color w:val="000000"/>
                <w:sz w:val="16"/>
                <w:szCs w:val="16"/>
              </w:rPr>
              <w:t xml:space="preserve">9641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использования: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Строительство, реконструкция, эксплуа</w:t>
            </w:r>
            <w:r>
              <w:rPr>
                <w:color w:val="000000"/>
                <w:sz w:val="16"/>
                <w:szCs w:val="16"/>
              </w:rPr>
              <w:t xml:space="preserve">тация линейных объектов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86:01:0000000:10622:ЗУ3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0,0002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0,0002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использования: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участок лесного фонда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Временный вдоль</w:t>
            </w:r>
            <w:r>
              <w:rPr>
                <w:color w:val="000000"/>
                <w:sz w:val="16"/>
                <w:szCs w:val="16"/>
              </w:rPr>
              <w:t xml:space="preserve"> трассо</w:t>
            </w:r>
            <w:r>
              <w:rPr>
                <w:color w:val="000000"/>
                <w:sz w:val="16"/>
                <w:szCs w:val="16"/>
              </w:rPr>
              <w:t xml:space="preserve">вый проезд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0,0304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0,0304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Строительство, реконструкция, эксплуатация линейных объектов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263" w:type="dxa"/>
            <w:vMerge w:val="restart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использования: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осуществление геологического изучени</w:t>
            </w:r>
            <w:r>
              <w:rPr>
                <w:color w:val="000000"/>
                <w:sz w:val="16"/>
                <w:szCs w:val="16"/>
              </w:rPr>
              <w:t xml:space="preserve">я недр, разведка и добыча полез</w:t>
            </w:r>
            <w:r>
              <w:rPr>
                <w:color w:val="000000"/>
                <w:sz w:val="16"/>
                <w:szCs w:val="16"/>
              </w:rPr>
              <w:t xml:space="preserve">ных ископаемых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0,1933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0,1933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1,1482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1,1482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86:01:0603001:2504:ЗУ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</w:t>
            </w:r>
            <w:r>
              <w:rPr>
                <w:sz w:val="16"/>
                <w:szCs w:val="16"/>
              </w:rPr>
              <w:t xml:space="preserve">4457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</w:t>
            </w:r>
            <w:r>
              <w:rPr>
                <w:bCs/>
                <w:color w:val="000000"/>
                <w:sz w:val="16"/>
                <w:szCs w:val="16"/>
              </w:rPr>
              <w:t xml:space="preserve">4457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 вид использования: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ind w:lef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Строительство, реконструкция, эксплуатация линейных объектов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Итого по: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Российская Федерация </w:t>
            </w:r>
            <w:r>
              <w:rPr>
                <w:sz w:val="16"/>
                <w:szCs w:val="16"/>
              </w:rPr>
              <w:t xml:space="preserve">Ханты-Мансийский автономный округ – Югра</w:t>
            </w:r>
            <w:r>
              <w:rPr>
                <w:sz w:val="16"/>
                <w:szCs w:val="16"/>
              </w:rPr>
              <w:t xml:space="preserve">, Кондинский район, Кондинское лесничество, </w:t>
            </w:r>
            <w:r>
              <w:rPr>
                <w:sz w:val="16"/>
                <w:szCs w:val="16"/>
              </w:rPr>
              <w:t xml:space="preserve">Болчаровское</w:t>
            </w:r>
            <w:r>
              <w:rPr>
                <w:sz w:val="16"/>
                <w:szCs w:val="16"/>
              </w:rPr>
              <w:t xml:space="preserve"> участковое лесничество, </w:t>
            </w:r>
            <w:r>
              <w:rPr>
                <w:sz w:val="16"/>
                <w:szCs w:val="16"/>
              </w:rPr>
              <w:t xml:space="preserve">Болчаровское</w:t>
            </w:r>
            <w:r>
              <w:rPr>
                <w:sz w:val="16"/>
                <w:szCs w:val="16"/>
              </w:rPr>
              <w:t xml:space="preserve"> урочище</w:t>
            </w:r>
            <w:r>
              <w:rPr>
                <w:sz w:val="16"/>
                <w:szCs w:val="16"/>
              </w:rPr>
            </w:r>
          </w:p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(земли лесного фонда)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27,9979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27,9979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8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71" w:type="dxa"/>
            <w:vAlign w:val="center"/>
            <w:textDirection w:val="lrTb"/>
            <w:noWrap w:val="false"/>
          </w:tcPr>
          <w:p>
            <w:pPr>
              <w:pStyle w:val="749"/>
              <w:ind w:left="360"/>
              <w:jc w:val="center"/>
              <w:spacing w:after="0" w:line="240" w:lineRule="auto"/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Российская Федерация ХМАО-Югра, Кондинский район</w:t>
            </w: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8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7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86:01:0603001 (Земли запаса)</w:t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Автомобильная дорога на ку</w:t>
            </w:r>
            <w:r>
              <w:rPr>
                <w:color w:val="000000"/>
                <w:sz w:val="16"/>
                <w:szCs w:val="16"/>
              </w:rPr>
              <w:t xml:space="preserve">ст скв</w:t>
            </w:r>
            <w:r>
              <w:rPr>
                <w:color w:val="000000"/>
                <w:sz w:val="16"/>
                <w:szCs w:val="16"/>
              </w:rPr>
              <w:t xml:space="preserve">ажин № 40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1,3064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1,3064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Недропользование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Земли запаса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ВЛ</w:t>
            </w:r>
            <w:r>
              <w:rPr>
                <w:color w:val="000000"/>
                <w:sz w:val="16"/>
                <w:szCs w:val="16"/>
              </w:rPr>
              <w:t xml:space="preserve"> 10 </w:t>
            </w:r>
            <w:r>
              <w:rPr>
                <w:color w:val="000000"/>
                <w:sz w:val="16"/>
                <w:szCs w:val="16"/>
              </w:rPr>
              <w:t xml:space="preserve">кВ</w:t>
            </w:r>
            <w:r>
              <w:rPr>
                <w:color w:val="000000"/>
                <w:sz w:val="16"/>
                <w:szCs w:val="16"/>
              </w:rPr>
              <w:t xml:space="preserve"> до кустовой площадки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№ 40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2,5362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2,5362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Недропользо</w:t>
            </w:r>
            <w:r>
              <w:rPr>
                <w:color w:val="000000"/>
                <w:sz w:val="16"/>
                <w:szCs w:val="16"/>
              </w:rPr>
              <w:t xml:space="preserve">вание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86:01:0603001:ЗУ3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Нефтегазосборный трубопровод от кустовой площадки № 40 до т.35а; Высоконапорный водовод от  т.34 до кустовой площадки №40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1,4582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1,4582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Недропользование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Временный </w:t>
            </w:r>
            <w:r>
              <w:rPr>
                <w:color w:val="000000"/>
                <w:sz w:val="16"/>
                <w:szCs w:val="16"/>
              </w:rPr>
              <w:t xml:space="preserve">вдольтрассовый</w:t>
            </w:r>
            <w:r>
              <w:rPr>
                <w:color w:val="000000"/>
                <w:sz w:val="16"/>
                <w:szCs w:val="16"/>
              </w:rPr>
              <w:t xml:space="preserve"> проезд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0,6847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0,6847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Недропользо</w:t>
            </w:r>
            <w:r>
              <w:rPr>
                <w:color w:val="000000"/>
                <w:sz w:val="16"/>
                <w:szCs w:val="16"/>
              </w:rPr>
              <w:t xml:space="preserve">вание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Итого по: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Российская Федерация </w:t>
            </w:r>
            <w:r>
              <w:rPr>
                <w:sz w:val="16"/>
                <w:szCs w:val="16"/>
              </w:rPr>
              <w:t xml:space="preserve">Ханты-Мансийский автономный округ – Югра</w:t>
            </w:r>
            <w:r>
              <w:rPr>
                <w:sz w:val="16"/>
                <w:szCs w:val="16"/>
              </w:rPr>
              <w:t xml:space="preserve">, Кондинский район</w:t>
            </w:r>
            <w:r>
              <w:rPr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(земли запаса)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5,9855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5,9855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</w:t>
            </w:r>
            <w:r>
              <w:rPr>
                <w:sz w:val="16"/>
                <w:szCs w:val="16"/>
              </w:rPr>
              <w:t xml:space="preserve">по</w:t>
            </w:r>
            <w:r>
              <w:rPr>
                <w:sz w:val="16"/>
                <w:szCs w:val="16"/>
              </w:rPr>
              <w:t xml:space="preserve">: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Российская Федерация </w:t>
            </w:r>
            <w:r>
              <w:rPr>
                <w:sz w:val="16"/>
                <w:szCs w:val="16"/>
              </w:rPr>
              <w:t xml:space="preserve">Ханты-Мансийский автономный округ – Югра</w:t>
            </w:r>
            <w:r>
              <w:rPr>
                <w:sz w:val="16"/>
                <w:szCs w:val="16"/>
              </w:rPr>
              <w:t xml:space="preserve">, Кондинский район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33,9834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33,9834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8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77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3. Аренда </w:t>
            </w:r>
            <w:r>
              <w:rPr>
                <w:sz w:val="16"/>
                <w:szCs w:val="16"/>
              </w:rPr>
              <w:t xml:space="preserve">АО «НК «Конданефть»</w:t>
            </w:r>
            <w:r>
              <w:rPr>
                <w:bCs/>
                <w:color w:val="000000"/>
                <w:sz w:val="16"/>
                <w:szCs w:val="16"/>
              </w:rPr>
              <w:t xml:space="preserve"> (</w:t>
            </w:r>
            <w:r>
              <w:rPr>
                <w:bCs/>
                <w:color w:val="000000"/>
                <w:sz w:val="16"/>
                <w:szCs w:val="16"/>
              </w:rPr>
              <w:t xml:space="preserve">из</w:t>
            </w:r>
            <w:r>
              <w:rPr>
                <w:bCs/>
                <w:color w:val="000000"/>
                <w:sz w:val="16"/>
                <w:szCs w:val="16"/>
              </w:rPr>
              <w:t xml:space="preserve"> ранее предоставленных)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8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77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в границах: </w:t>
            </w:r>
            <w:r>
              <w:rPr>
                <w:sz w:val="16"/>
                <w:szCs w:val="16"/>
              </w:rPr>
              <w:t xml:space="preserve">Российская Федерация </w:t>
            </w:r>
            <w:r>
              <w:rPr>
                <w:sz w:val="16"/>
                <w:szCs w:val="16"/>
              </w:rPr>
              <w:t xml:space="preserve">Ханты-Мансийский автономный округ – Югра</w:t>
            </w:r>
            <w:r>
              <w:rPr>
                <w:sz w:val="16"/>
                <w:szCs w:val="16"/>
              </w:rPr>
              <w:t xml:space="preserve">, Кондинский район, Кондинское лесничество, </w:t>
            </w:r>
            <w:r>
              <w:rPr>
                <w:sz w:val="16"/>
                <w:szCs w:val="16"/>
              </w:rPr>
              <w:t xml:space="preserve">Болчаровское</w:t>
            </w:r>
            <w:r>
              <w:rPr>
                <w:sz w:val="16"/>
                <w:szCs w:val="16"/>
              </w:rPr>
              <w:t xml:space="preserve"> участковое лесничество, </w:t>
            </w:r>
            <w:r>
              <w:rPr>
                <w:sz w:val="16"/>
                <w:szCs w:val="16"/>
              </w:rPr>
              <w:t xml:space="preserve">Болчаровское</w:t>
            </w:r>
            <w:r>
              <w:rPr>
                <w:sz w:val="16"/>
                <w:szCs w:val="16"/>
              </w:rPr>
              <w:t xml:space="preserve"> урочище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86:01:0603001:2383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Автомобильная дорога на ку</w:t>
            </w:r>
            <w:r>
              <w:rPr>
                <w:sz w:val="16"/>
                <w:szCs w:val="16"/>
              </w:rPr>
              <w:t xml:space="preserve">ст скв</w:t>
            </w:r>
            <w:r>
              <w:rPr>
                <w:sz w:val="16"/>
                <w:szCs w:val="16"/>
              </w:rPr>
              <w:t xml:space="preserve">ажин № 40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0,1030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0,1030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Согласно данным ЕГРН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86:01:0603001:2383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ВЛ</w:t>
            </w:r>
            <w:r>
              <w:rPr>
                <w:sz w:val="16"/>
                <w:szCs w:val="16"/>
              </w:rPr>
              <w:t xml:space="preserve"> 10 </w:t>
            </w:r>
            <w:r>
              <w:rPr>
                <w:sz w:val="16"/>
                <w:szCs w:val="16"/>
              </w:rPr>
              <w:t xml:space="preserve">кВ</w:t>
            </w:r>
            <w:r>
              <w:rPr>
                <w:sz w:val="16"/>
                <w:szCs w:val="16"/>
              </w:rPr>
              <w:t xml:space="preserve"> до кустовой площадки</w:t>
            </w:r>
            <w:r>
              <w:rPr>
                <w:sz w:val="16"/>
                <w:szCs w:val="16"/>
              </w:rPr>
            </w:r>
          </w:p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40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0,4826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0,4826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86:01:0603001:2382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0,1479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0,1479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86:01:0603001:2381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0,1895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0,1895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86:01:0603001:2383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Нефтегазосборный трубопровод от кустовой площадки № 40 до т.35а; Высоконапорный водовод от  т.34 до кустовой площадки №40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0,0240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0,0240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Временный </w:t>
            </w:r>
            <w:r>
              <w:rPr>
                <w:sz w:val="16"/>
                <w:szCs w:val="16"/>
              </w:rPr>
              <w:t xml:space="preserve">вдольтрассовый</w:t>
            </w:r>
            <w:r>
              <w:rPr>
                <w:sz w:val="16"/>
                <w:szCs w:val="16"/>
              </w:rPr>
              <w:t xml:space="preserve"> проезд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0,0301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0,0301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0,1596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0,1596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0,5590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0,5590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УЗА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0,0107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0,0107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86:01:0603001:2383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0,1378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0,1378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86:01:0603001:2382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Противопожарная вырубка УЗА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0,3619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0,3619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86:01:0603001:2383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0,9721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0,9721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Merge w:val="continue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75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left w:val="none" w:color="000000" w:sz="4" w:space="0"/>
              <w:right w:val="single" w:color="auto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1,4179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/>
          </w:tcPr>
          <w:p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0,0000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1,4179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Итого </w:t>
            </w:r>
            <w:r>
              <w:rPr>
                <w:bCs/>
                <w:color w:val="000000"/>
                <w:sz w:val="16"/>
                <w:szCs w:val="16"/>
              </w:rPr>
              <w:t xml:space="preserve">по: </w:t>
            </w:r>
            <w:r>
              <w:rPr>
                <w:bCs/>
                <w:color w:val="000000"/>
                <w:sz w:val="16"/>
                <w:szCs w:val="16"/>
              </w:rPr>
              <w:t xml:space="preserve">Аренда, </w:t>
            </w:r>
            <w:r>
              <w:rPr>
                <w:bCs/>
                <w:color w:val="000000"/>
                <w:sz w:val="16"/>
                <w:szCs w:val="16"/>
              </w:rPr>
            </w:r>
          </w:p>
          <w:p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АО </w:t>
            </w:r>
            <w:r>
              <w:rPr>
                <w:sz w:val="16"/>
                <w:szCs w:val="16"/>
              </w:rPr>
              <w:t xml:space="preserve">«НК «Конданефть»</w:t>
            </w:r>
            <w:r>
              <w:rPr>
                <w:bCs/>
                <w:color w:val="000000"/>
                <w:sz w:val="16"/>
                <w:szCs w:val="16"/>
              </w:rPr>
              <w:t xml:space="preserve"> (</w:t>
            </w:r>
            <w:r>
              <w:rPr>
                <w:bCs/>
                <w:color w:val="000000"/>
                <w:sz w:val="16"/>
                <w:szCs w:val="16"/>
              </w:rPr>
              <w:t xml:space="preserve">из</w:t>
            </w:r>
            <w:r>
              <w:rPr>
                <w:bCs/>
                <w:color w:val="000000"/>
                <w:sz w:val="16"/>
                <w:szCs w:val="16"/>
              </w:rPr>
              <w:t xml:space="preserve"> ранее предоставленных)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4,5961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000000" w:sz="4" w:space="0"/>
            </w:tcBorders>
            <w:tcW w:w="889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4,5961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 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 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 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Cs/>
                <w:color w:val="000000"/>
                <w:sz w:val="15"/>
                <w:szCs w:val="15"/>
              </w:rPr>
            </w:pPr>
            <w:r>
              <w:rPr>
                <w:bCs/>
                <w:color w:val="000000"/>
                <w:sz w:val="15"/>
                <w:szCs w:val="15"/>
              </w:rPr>
              <w:t xml:space="preserve">Итого требуемая площадь к отводу (без учета земель, арендованных АО </w:t>
            </w:r>
            <w:r>
              <w:rPr>
                <w:sz w:val="15"/>
                <w:szCs w:val="15"/>
              </w:rPr>
              <w:t xml:space="preserve">«НК «Конданефть»</w:t>
            </w:r>
            <w:r>
              <w:rPr>
                <w:bCs/>
                <w:color w:val="000000"/>
                <w:sz w:val="15"/>
                <w:szCs w:val="15"/>
              </w:rPr>
              <w:t xml:space="preserve"> (из ранее предоставленных)</w:t>
            </w:r>
            <w:r>
              <w:rPr>
                <w:bCs/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33,9834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000000" w:sz="4" w:space="0"/>
            </w:tcBorders>
            <w:tcW w:w="889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33,9834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Всего по проектной документации </w:t>
            </w:r>
            <w:r>
              <w:rPr>
                <w:bCs/>
                <w:color w:val="000000"/>
                <w:sz w:val="16"/>
                <w:szCs w:val="16"/>
              </w:rPr>
              <w:br/>
              <w:t xml:space="preserve">с учетом земель, арендованных АО </w:t>
            </w:r>
            <w:r>
              <w:rPr>
                <w:sz w:val="16"/>
                <w:szCs w:val="16"/>
              </w:rPr>
              <w:t xml:space="preserve">«НК «Конданефть»</w:t>
            </w:r>
            <w:r>
              <w:rPr>
                <w:bCs/>
                <w:color w:val="000000"/>
                <w:sz w:val="16"/>
                <w:szCs w:val="16"/>
              </w:rPr>
              <w:t xml:space="preserve"> (</w:t>
            </w:r>
            <w:r>
              <w:rPr>
                <w:bCs/>
                <w:color w:val="000000"/>
                <w:sz w:val="16"/>
                <w:szCs w:val="16"/>
              </w:rPr>
              <w:t xml:space="preserve">из</w:t>
            </w:r>
            <w:r>
              <w:rPr>
                <w:bCs/>
                <w:color w:val="000000"/>
                <w:sz w:val="16"/>
                <w:szCs w:val="16"/>
              </w:rPr>
              <w:t xml:space="preserve"> ранее </w:t>
            </w:r>
            <w:r>
              <w:rPr>
                <w:bCs/>
                <w:color w:val="000000"/>
                <w:sz w:val="16"/>
                <w:szCs w:val="16"/>
              </w:rPr>
              <w:t xml:space="preserve">предоставленных)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38,5795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0,0000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9" w:type="dxa"/>
            <w:vAlign w:val="center"/>
            <w:textDirection w:val="lrTb"/>
            <w:noWrap/>
          </w:tcPr>
          <w:p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38,5795</w:t>
            </w:r>
            <w:r>
              <w:rPr>
                <w:b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62" w:type="dxa"/>
            <w:vAlign w:val="bottom"/>
            <w:textDirection w:val="lrTb"/>
            <w:noWrap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 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3" w:type="dxa"/>
            <w:vAlign w:val="bottom"/>
            <w:textDirection w:val="lrTb"/>
            <w:noWrap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 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63" w:type="dxa"/>
            <w:vAlign w:val="bottom"/>
            <w:textDirection w:val="lrTb"/>
            <w:noWrap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 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Способ образования земельных участков 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37" w:type="dxa"/>
            <w:vAlign w:val="center"/>
            <w:textDirection w:val="lrTb"/>
            <w:noWrap/>
          </w:tcPr>
          <w:p>
            <w:pPr>
              <w:pStyle w:val="749"/>
              <w:ind w:left="0"/>
              <w:jc w:val="both"/>
              <w:spacing w:after="0" w:line="240" w:lineRule="auto"/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  <w:t xml:space="preserve">1. </w:t>
            </w: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  <w:t xml:space="preserve">Путем раздела земельных участков с сохранением исходных земельных участков в измененных границах</w:t>
            </w: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</w:r>
          </w:p>
          <w:p>
            <w:pPr>
              <w:pStyle w:val="749"/>
              <w:ind w:left="0"/>
              <w:jc w:val="both"/>
              <w:spacing w:after="0" w:line="240" w:lineRule="auto"/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  <w:t xml:space="preserve">2. </w:t>
            </w: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  <w:t xml:space="preserve">Путем перераспределения земельных участков с КН 86:01:0</w:t>
            </w: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  <w:t xml:space="preserve">603001:2503, 86:01:0603001:2504</w:t>
            </w:r>
            <w:r>
              <w:rPr>
                <w:rFonts w:ascii="Times New Roman" w:hAnsi="Times New Roman" w:eastAsia="Times New Roman"/>
                <w:color w:val="000000"/>
                <w:sz w:val="16"/>
                <w:szCs w:val="16"/>
                <w:lang w:eastAsia="ru-RU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Способ образования земельных участков по п</w:t>
            </w:r>
            <w:r>
              <w:rPr>
                <w:bCs/>
                <w:color w:val="000000"/>
                <w:sz w:val="16"/>
                <w:szCs w:val="16"/>
              </w:rPr>
              <w:t xml:space="preserve">ункту</w:t>
            </w:r>
            <w:r>
              <w:rPr>
                <w:bCs/>
                <w:color w:val="000000"/>
                <w:sz w:val="16"/>
                <w:szCs w:val="16"/>
              </w:rPr>
              <w:t xml:space="preserve"> 3</w:t>
            </w:r>
            <w:r>
              <w:rPr>
                <w:bCs/>
                <w:color w:val="000000"/>
                <w:sz w:val="16"/>
                <w:szCs w:val="16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37" w:type="dxa"/>
            <w:vAlign w:val="center"/>
            <w:textDirection w:val="lrTb"/>
            <w:noWrap/>
          </w:tcPr>
          <w:p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ЗУ не образуются. Указывается площадь (ТЧ) и условные границы (ГЧ) для земельных участков, необходимых для проведения работ по </w:t>
            </w:r>
            <w:r>
              <w:rPr>
                <w:color w:val="000000"/>
                <w:sz w:val="16"/>
                <w:szCs w:val="16"/>
              </w:rPr>
              <w:t xml:space="preserve">данному</w:t>
            </w:r>
            <w:r>
              <w:rPr>
                <w:color w:val="000000"/>
                <w:sz w:val="16"/>
                <w:szCs w:val="16"/>
              </w:rPr>
              <w:t xml:space="preserve"> проекту в границах ранее предоставленных  в аренду АО «НК «Конданефть»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 xml:space="preserve">земельных участков,  с сохранением исходных  земельных участков без изменения границ 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Номера характерных точек образуемых земельных участков</w:t>
            </w:r>
            <w:r>
              <w:rPr>
                <w:b/>
                <w:bCs/>
                <w:color w:val="000000"/>
                <w:sz w:val="16"/>
                <w:szCs w:val="16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37" w:type="dxa"/>
            <w:vAlign w:val="center"/>
            <w:textDirection w:val="lrTb"/>
            <w:noWrap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См. таблицу 2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Сведения об отнесении (</w:t>
            </w:r>
            <w:r>
              <w:rPr>
                <w:sz w:val="16"/>
                <w:szCs w:val="16"/>
              </w:rPr>
              <w:t xml:space="preserve">неотнесении</w:t>
            </w:r>
            <w:r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 xml:space="preserve">образуемых</w:t>
            </w:r>
            <w:r>
              <w:rPr>
                <w:sz w:val="16"/>
                <w:szCs w:val="16"/>
              </w:rPr>
              <w:t xml:space="preserve"> земельных участков к территории общего пользования</w:t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37" w:type="dxa"/>
            <w:vAlign w:val="center"/>
            <w:textDirection w:val="lrTb"/>
            <w:noWrap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относятся</w:t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Целевое назначение лесов, вид (виды) разрешенного использования лесного участка, количественные и качественные характеристик</w:t>
            </w:r>
            <w:r>
              <w:rPr>
                <w:sz w:val="16"/>
                <w:szCs w:val="16"/>
              </w:rPr>
              <w:t xml:space="preserve">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</w:t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37" w:type="dxa"/>
            <w:vAlign w:val="center"/>
            <w:textDirection w:val="lrTb"/>
            <w:noWrap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См. </w:t>
            </w:r>
            <w:r>
              <w:rPr>
                <w:sz w:val="16"/>
                <w:szCs w:val="16"/>
              </w:rPr>
              <w:t xml:space="preserve">пункты</w:t>
            </w:r>
            <w:r>
              <w:rPr>
                <w:sz w:val="16"/>
                <w:szCs w:val="16"/>
              </w:rPr>
              <w:t xml:space="preserve"> 6 </w:t>
            </w:r>
            <w:r>
              <w:rPr>
                <w:sz w:val="16"/>
                <w:szCs w:val="16"/>
              </w:rPr>
              <w:t xml:space="preserve">-</w:t>
            </w:r>
            <w:r>
              <w:rPr>
                <w:sz w:val="16"/>
                <w:szCs w:val="16"/>
              </w:rPr>
              <w:t xml:space="preserve"> 8; Приложение</w:t>
            </w:r>
            <w:r>
              <w:rPr>
                <w:sz w:val="16"/>
                <w:szCs w:val="16"/>
              </w:rPr>
              <w:t xml:space="preserve"> А</w:t>
            </w:r>
            <w:r>
              <w:rPr>
                <w:sz w:val="16"/>
                <w:szCs w:val="16"/>
              </w:rPr>
              <w:t xml:space="preserve">; Приложение Б</w:t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</w:t>
            </w:r>
            <w:r>
              <w:rPr>
                <w:sz w:val="16"/>
                <w:szCs w:val="16"/>
              </w:rPr>
              <w:t xml:space="preserve">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37" w:type="dxa"/>
            <w:vAlign w:val="center"/>
            <w:textDirection w:val="lrTb"/>
            <w:noWrap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имеется</w:t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34" w:type="dxa"/>
            <w:vAlign w:val="center"/>
            <w:textDirection w:val="lrTb"/>
            <w:noWrap w:val="false"/>
          </w:tcPr>
          <w:p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Перечень кадастровых номеров существующих земельных участков, на которых линейный объект может быть ра</w:t>
            </w:r>
            <w:r>
              <w:rPr>
                <w:sz w:val="16"/>
                <w:szCs w:val="16"/>
              </w:rPr>
              <w:t xml:space="preserve">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37" w:type="dxa"/>
            <w:vAlign w:val="center"/>
            <w:textDirection w:val="lrTb"/>
            <w:noWrap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имеется</w:t>
            </w:r>
            <w:r>
              <w:rPr>
                <w:sz w:val="16"/>
                <w:szCs w:val="16"/>
              </w:rPr>
            </w:r>
          </w:p>
        </w:tc>
      </w:tr>
    </w:tbl>
    <w:p>
      <w:pPr>
        <w:spacing w:line="276" w:lineRule="auto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956"/>
      </w:pPr>
      <w:r>
        <w:t xml:space="preserve">*</w:t>
      </w:r>
      <w:r>
        <w:t xml:space="preserve"> </w:t>
      </w:r>
      <w:r>
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  <w:r/>
    </w:p>
    <w:p>
      <w:pPr>
        <w:pStyle w:val="956"/>
        <w:rPr>
          <w:color w:val="777777"/>
          <w:shd w:val="clear" w:color="auto" w:fill="ffffff"/>
        </w:rPr>
      </w:pPr>
      <w:r>
        <w:t xml:space="preserve">** Сервитутом является право ограниченного пользования собственником недвижимого имущества (земельного участка) соседним земельным участком, например, для обеспечения прохода и проезда через соседний земельный участок, строительства, реконстру</w:t>
      </w:r>
      <w:r>
        <w:t xml:space="preserve">кции и (или) эксплуатации линейных объектов, не препятствующих использованию земельного участка в соответствии с разрешенным использованием, а также других нужд собственника недвижимого имущества, которые не могут быть обеспечены без установления сервитута</w:t>
      </w:r>
      <w:r>
        <w:rPr>
          <w:color w:val="777777"/>
          <w:shd w:val="clear" w:color="auto" w:fill="ffffff"/>
        </w:rPr>
        <w:t xml:space="preserve">.</w:t>
      </w:r>
      <w:r>
        <w:rPr>
          <w:color w:val="777777"/>
          <w:shd w:val="clear" w:color="auto" w:fill="ffffff"/>
        </w:rPr>
      </w:r>
    </w:p>
    <w:p>
      <w:pPr>
        <w:pStyle w:val="956"/>
      </w:pPr>
      <w:r>
        <w:t xml:space="preserve">Лицо, заинтересованное в установлении сервитута (собственник либо арендатор), должно представить в уполномоченный орган (орган, осуществляющий полномочия по распоряжению соответствующим земельным участком) заявление о заключении соглашения </w:t>
      </w:r>
      <w:r>
        <w:t xml:space="preserve">об установлении сервитута с приложением схемы границ сервитута на кадастровом плане территории.</w:t>
      </w:r>
      <w:r/>
    </w:p>
    <w:p>
      <w:pPr>
        <w:pStyle w:val="956"/>
      </w:pPr>
      <w:r>
        <w:t xml:space="preserve">После кадастрового учета части земельного участка заключается соглашение об установлении сервитута, которое является основанием для регистрации сервитута. </w:t>
      </w:r>
      <w:r/>
    </w:p>
    <w:p>
      <w:pPr>
        <w:pStyle w:val="956"/>
      </w:pPr>
      <w:r>
        <w:t xml:space="preserve">Заинтересованному лицу выполнить кадастровые работы в целях образования земельного участка в соответствии с соглашением между собственниками (несколькими собственниками) и приложенной к нему схемой расположения земельного участка (проектом).</w:t>
      </w:r>
      <w:r/>
    </w:p>
    <w:p>
      <w:pPr>
        <w:pStyle w:val="956"/>
      </w:pPr>
      <w:r>
        <w:t xml:space="preserve">Соглашение с несколькими собственниками достигается путем организации и проведения общего собрания участников долевой собственности ст</w:t>
      </w:r>
      <w:r>
        <w:t xml:space="preserve">атьи</w:t>
      </w:r>
      <w:r>
        <w:t xml:space="preserve"> 14, 14.1 Федерального закона от 24</w:t>
      </w:r>
      <w:r>
        <w:t xml:space="preserve"> июля </w:t>
      </w:r>
      <w:r>
        <w:t xml:space="preserve">2002</w:t>
      </w:r>
      <w:r>
        <w:t xml:space="preserve"> года</w:t>
      </w:r>
      <w:r>
        <w:t xml:space="preserve"> </w:t>
      </w:r>
      <w:r>
        <w:t xml:space="preserve">№</w:t>
      </w:r>
      <w:r>
        <w:t xml:space="preserve"> 101-ФЗ </w:t>
      </w:r>
      <w:r>
        <w:t xml:space="preserve">«</w:t>
      </w:r>
      <w:r>
        <w:t xml:space="preserve">Об обороте земель сельскохозяйственного назначения</w:t>
      </w:r>
      <w:r>
        <w:t xml:space="preserve">»</w:t>
      </w:r>
      <w:r>
        <w:t xml:space="preserve">.</w:t>
      </w:r>
      <w:r/>
    </w:p>
    <w:p>
      <w:pPr>
        <w:pStyle w:val="956"/>
      </w:pPr>
      <w:r>
        <w:t xml:space="preserve">Собрание участников долевой собственности включает в себя следующие мероприятия:</w:t>
      </w:r>
      <w:r/>
    </w:p>
    <w:p>
      <w:pPr>
        <w:pStyle w:val="956"/>
      </w:pPr>
      <w:r>
        <w:t xml:space="preserve">назначение;</w:t>
      </w:r>
      <w:r/>
    </w:p>
    <w:p>
      <w:pPr>
        <w:pStyle w:val="956"/>
      </w:pPr>
      <w:r>
        <w:t xml:space="preserve">сообщение и уведомление;</w:t>
      </w:r>
      <w:r/>
    </w:p>
    <w:p>
      <w:pPr>
        <w:pStyle w:val="956"/>
      </w:pPr>
      <w:r>
        <w:t xml:space="preserve">обеспечение присутствия регламентированного количества участников;</w:t>
      </w:r>
      <w:r/>
    </w:p>
    <w:p>
      <w:pPr>
        <w:pStyle w:val="956"/>
      </w:pPr>
      <w:r>
        <w:t xml:space="preserve">голосование;</w:t>
      </w:r>
      <w:r/>
    </w:p>
    <w:p>
      <w:pPr>
        <w:pStyle w:val="956"/>
      </w:pPr>
      <w:r>
        <w:t xml:space="preserve">оформление протокола;</w:t>
      </w:r>
      <w:r/>
    </w:p>
    <w:p>
      <w:pPr>
        <w:pStyle w:val="956"/>
      </w:pPr>
      <w:r>
        <w:t xml:space="preserve">решение общего собрания.</w:t>
      </w:r>
      <w:r/>
    </w:p>
    <w:p>
      <w:pPr>
        <w:pStyle w:val="956"/>
      </w:pPr>
      <w:r>
        <w:t xml:space="preserve">В случае затрагивания интересов одного собственника, получить письменное согласие землевладельца в соответствии со ст</w:t>
      </w:r>
      <w:r>
        <w:t xml:space="preserve">атьей</w:t>
      </w:r>
      <w:r>
        <w:t xml:space="preserve"> 11.2 Земельного кодекса </w:t>
      </w:r>
      <w:r>
        <w:t xml:space="preserve">Российской Федерации</w:t>
      </w:r>
      <w:r>
        <w:t xml:space="preserve">.</w:t>
      </w:r>
      <w:r/>
    </w:p>
    <w:p>
      <w:pPr>
        <w:pStyle w:val="956"/>
      </w:pPr>
      <w:r>
        <w:t xml:space="preserve">В соответствии с главой II Федерального закона от 24</w:t>
      </w:r>
      <w:r>
        <w:t xml:space="preserve"> июля </w:t>
      </w:r>
      <w:r>
        <w:t xml:space="preserve">2002</w:t>
      </w:r>
      <w:r>
        <w:t xml:space="preserve"> года №</w:t>
      </w:r>
      <w:r>
        <w:t xml:space="preserve"> 101-ФЗ </w:t>
      </w:r>
      <w:r>
        <w:t xml:space="preserve">               «</w:t>
      </w:r>
      <w:r>
        <w:t xml:space="preserve">Об обороте земель сельскохозяйственного назначения</w:t>
      </w:r>
      <w:r>
        <w:t xml:space="preserve">»</w:t>
      </w:r>
      <w:r>
        <w:t xml:space="preserve"> необходимо оформить право собственности на образованные земельные участки в установленном законодательством порядке.</w:t>
      </w:r>
      <w:r/>
    </w:p>
    <w:p>
      <w:pPr>
        <w:pStyle w:val="956"/>
      </w:pPr>
      <w:r>
        <w:t xml:space="preserve">Площади формируемых земельных участков могут быть уточнены при проведении кадастровых работ, в соответствии с Федеральным законом от 24</w:t>
      </w:r>
      <w:r>
        <w:t xml:space="preserve"> июля </w:t>
      </w:r>
      <w:r>
        <w:t xml:space="preserve">2007</w:t>
      </w:r>
      <w:r>
        <w:t xml:space="preserve"> года</w:t>
      </w:r>
      <w:r>
        <w:t xml:space="preserve"> </w:t>
      </w:r>
      <w:r>
        <w:t xml:space="preserve">№ 221-ФЗ </w:t>
      </w:r>
      <w:r>
        <w:t xml:space="preserve">«Особенности уточнения местоположения границ земельных участков при выполнении комплексных кадастровых работ».</w:t>
      </w:r>
      <w:r/>
    </w:p>
    <w:p>
      <w:pPr>
        <w:pStyle w:val="956"/>
      </w:pPr>
      <w:r>
        <w:t xml:space="preserve">В соответствии с п</w:t>
      </w:r>
      <w:r>
        <w:t xml:space="preserve">унктом </w:t>
      </w:r>
      <w:r>
        <w:t xml:space="preserve">2 ст</w:t>
      </w:r>
      <w:r>
        <w:t xml:space="preserve">атьи </w:t>
      </w:r>
      <w:r>
        <w:t xml:space="preserve">78 Земельного кодекса </w:t>
      </w:r>
      <w:r>
        <w:t xml:space="preserve">Российской Федерации</w:t>
      </w:r>
      <w:r>
        <w:t xml:space="preserve">, использование земель сельскохозяйственного назначения или земельных участков в составе таких земель, предоставляемых на период осуществления строительства дорог, линий электропередачи, линий свя</w:t>
      </w:r>
      <w:r>
        <w:t xml:space="preserve">зи (в том числе линейно-кабельных сооружений), нефтепроводов, газопроводов и иных трубопроводов,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</w:t>
      </w:r>
      <w:r>
        <w:t xml:space="preserve"> земли иных категорий.</w:t>
      </w:r>
      <w:r/>
    </w:p>
    <w:p>
      <w:pPr>
        <w:pStyle w:val="956"/>
      </w:pPr>
      <w:r>
        <w:t xml:space="preserve">*** заинтересованному</w:t>
      </w:r>
      <w:r>
        <w:t xml:space="preserve"> </w:t>
      </w:r>
      <w:r>
        <w:t xml:space="preserve">лицу</w:t>
      </w:r>
      <w:r>
        <w:t xml:space="preserve"> </w:t>
      </w:r>
      <w:r>
        <w:t xml:space="preserve">выполнить</w:t>
      </w:r>
      <w:r>
        <w:t xml:space="preserve"> </w:t>
      </w:r>
      <w:r>
        <w:t xml:space="preserve">кадастровые</w:t>
      </w:r>
      <w:r>
        <w:t xml:space="preserve"> </w:t>
      </w:r>
      <w:r>
        <w:t xml:space="preserve">работы</w:t>
      </w:r>
      <w:r>
        <w:t xml:space="preserve"> </w:t>
      </w:r>
      <w:r>
        <w:t xml:space="preserve">в</w:t>
      </w:r>
      <w:r>
        <w:t xml:space="preserve"> </w:t>
      </w:r>
      <w:r>
        <w:t xml:space="preserve">целях</w:t>
      </w:r>
      <w:r>
        <w:t xml:space="preserve"> </w:t>
      </w:r>
      <w:r>
        <w:t xml:space="preserve">образования земельного</w:t>
      </w:r>
      <w:r>
        <w:t xml:space="preserve"> </w:t>
      </w:r>
      <w:r>
        <w:t xml:space="preserve">участка</w:t>
      </w:r>
      <w:r>
        <w:t xml:space="preserve"> </w:t>
      </w:r>
      <w:r>
        <w:t xml:space="preserve">в</w:t>
      </w:r>
      <w:r>
        <w:t xml:space="preserve"> </w:t>
      </w:r>
      <w:r>
        <w:t xml:space="preserve">соответствии</w:t>
      </w:r>
      <w:r>
        <w:t xml:space="preserve"> </w:t>
      </w:r>
      <w:r>
        <w:t xml:space="preserve">с</w:t>
      </w:r>
      <w:r>
        <w:t xml:space="preserve"> </w:t>
      </w:r>
      <w:r>
        <w:t xml:space="preserve">проектной</w:t>
      </w:r>
      <w:r>
        <w:t xml:space="preserve"> </w:t>
      </w:r>
      <w:r>
        <w:t xml:space="preserve">документацией</w:t>
      </w:r>
      <w:r>
        <w:t xml:space="preserve"> </w:t>
      </w:r>
      <w:r>
        <w:t xml:space="preserve">лесных</w:t>
      </w:r>
      <w:r>
        <w:t xml:space="preserve"> </w:t>
      </w:r>
      <w:r>
        <w:t xml:space="preserve">участков</w:t>
      </w:r>
      <w:r>
        <w:t xml:space="preserve"> </w:t>
      </w:r>
      <w:r>
        <w:t xml:space="preserve">(далее ПДЛУ) выполненной и утвержденной в соответствии с Лесным кодексом </w:t>
      </w:r>
      <w:r>
        <w:t xml:space="preserve">Российской Федерации</w:t>
      </w:r>
      <w:r>
        <w:t xml:space="preserve">. </w:t>
      </w:r>
      <w:r/>
    </w:p>
    <w:p>
      <w:pPr>
        <w:pStyle w:val="956"/>
      </w:pPr>
      <w:r>
        <w:t xml:space="preserve">ПДЛУ</w:t>
      </w:r>
      <w:r>
        <w:t xml:space="preserve"> </w:t>
      </w:r>
      <w:r>
        <w:t xml:space="preserve">выполнить</w:t>
      </w:r>
      <w:r>
        <w:t xml:space="preserve"> </w:t>
      </w:r>
      <w:r>
        <w:t xml:space="preserve">с</w:t>
      </w:r>
      <w:r>
        <w:t xml:space="preserve"> </w:t>
      </w:r>
      <w:r>
        <w:t xml:space="preserve">учетом</w:t>
      </w:r>
      <w:r>
        <w:t xml:space="preserve"> </w:t>
      </w:r>
      <w:r>
        <w:t xml:space="preserve">границ</w:t>
      </w:r>
      <w:r>
        <w:t xml:space="preserve"> </w:t>
      </w:r>
      <w:r>
        <w:t xml:space="preserve">и</w:t>
      </w:r>
      <w:r>
        <w:t xml:space="preserve"> </w:t>
      </w:r>
      <w:r>
        <w:t xml:space="preserve">площади</w:t>
      </w:r>
      <w:r>
        <w:t xml:space="preserve"> </w:t>
      </w:r>
      <w:r>
        <w:t xml:space="preserve">лесных</w:t>
      </w:r>
      <w:r>
        <w:t xml:space="preserve"> </w:t>
      </w:r>
      <w:r>
        <w:t xml:space="preserve">кварталов</w:t>
      </w:r>
      <w:r>
        <w:t xml:space="preserve"> </w:t>
      </w:r>
      <w:r>
        <w:t xml:space="preserve">и</w:t>
      </w:r>
      <w:r>
        <w:t xml:space="preserve"> </w:t>
      </w:r>
      <w:r>
        <w:t xml:space="preserve">(или) лесотаксационных выделов, частей лесотаксационных выделов, указать целевое назначение и вид разрешенного использования лесов.</w:t>
      </w:r>
      <w:r/>
    </w:p>
    <w:p>
      <w:pPr>
        <w:pStyle w:val="956"/>
      </w:pPr>
      <w:r>
        <w:t xml:space="preserve">Утвердить</w:t>
      </w:r>
      <w:r>
        <w:t xml:space="preserve"> </w:t>
      </w:r>
      <w:r>
        <w:t xml:space="preserve">ПДЛУ</w:t>
      </w:r>
      <w:r>
        <w:t xml:space="preserve"> </w:t>
      </w:r>
      <w:r>
        <w:t xml:space="preserve">решением</w:t>
      </w:r>
      <w:r>
        <w:t xml:space="preserve"> </w:t>
      </w:r>
      <w:r>
        <w:t xml:space="preserve">органа</w:t>
      </w:r>
      <w:r>
        <w:t xml:space="preserve"> </w:t>
      </w:r>
      <w:r>
        <w:t xml:space="preserve">государственной</w:t>
      </w:r>
      <w:r>
        <w:t xml:space="preserve"> </w:t>
      </w:r>
      <w:r>
        <w:t xml:space="preserve">власти, органа</w:t>
      </w:r>
      <w:r>
        <w:t xml:space="preserve"> </w:t>
      </w:r>
      <w:r>
        <w:t xml:space="preserve">местного самоуправления, </w:t>
      </w:r>
      <w:r>
        <w:t xml:space="preserve">осуществляющих</w:t>
      </w:r>
      <w:r>
        <w:t xml:space="preserve"> </w:t>
      </w:r>
      <w:r>
        <w:t xml:space="preserve">полномочия</w:t>
      </w:r>
      <w:r>
        <w:t xml:space="preserve"> </w:t>
      </w:r>
      <w:r>
        <w:t xml:space="preserve">по</w:t>
      </w:r>
      <w:r>
        <w:t xml:space="preserve"> </w:t>
      </w:r>
      <w:r>
        <w:t xml:space="preserve">предоставлению</w:t>
      </w:r>
      <w:r>
        <w:t xml:space="preserve"> </w:t>
      </w:r>
      <w:r>
        <w:t xml:space="preserve">в</w:t>
      </w:r>
      <w:r>
        <w:t xml:space="preserve"> </w:t>
      </w:r>
      <w:r>
        <w:t xml:space="preserve">пользование</w:t>
      </w:r>
      <w:r>
        <w:t xml:space="preserve"> </w:t>
      </w:r>
      <w:r>
        <w:t xml:space="preserve">лесного участка в соответствии со статьями 81-84 Лесного </w:t>
      </w:r>
      <w:r>
        <w:t xml:space="preserve">к</w:t>
      </w:r>
      <w:r>
        <w:t xml:space="preserve">одекса</w:t>
      </w:r>
      <w:r>
        <w:t xml:space="preserve"> Российской Федерации</w:t>
      </w:r>
      <w:r>
        <w:t xml:space="preserve">.</w:t>
      </w:r>
      <w:r/>
    </w:p>
    <w:p>
      <w:pPr>
        <w:pStyle w:val="956"/>
      </w:pPr>
      <w:r>
        <w:t xml:space="preserve">В</w:t>
      </w:r>
      <w:r>
        <w:t xml:space="preserve"> </w:t>
      </w:r>
      <w:r>
        <w:t xml:space="preserve">соответствии</w:t>
      </w:r>
      <w:r>
        <w:t xml:space="preserve"> </w:t>
      </w:r>
      <w:r>
        <w:t xml:space="preserve">с</w:t>
      </w:r>
      <w:r>
        <w:t xml:space="preserve"> </w:t>
      </w:r>
      <w:r>
        <w:t xml:space="preserve">Лесным</w:t>
      </w:r>
      <w:r>
        <w:t xml:space="preserve"> </w:t>
      </w:r>
      <w:r>
        <w:t xml:space="preserve">кодексом</w:t>
      </w:r>
      <w:r>
        <w:t xml:space="preserve"> Российской Федерации </w:t>
      </w:r>
      <w:r>
        <w:t xml:space="preserve">необходимо</w:t>
      </w:r>
      <w:r>
        <w:t xml:space="preserve"> </w:t>
      </w:r>
      <w:r>
        <w:t xml:space="preserve">заключение</w:t>
      </w:r>
      <w:r>
        <w:t xml:space="preserve"> </w:t>
      </w:r>
      <w:r>
        <w:t xml:space="preserve">Договора</w:t>
      </w:r>
      <w:r>
        <w:t xml:space="preserve"> </w:t>
      </w:r>
      <w:r>
        <w:t xml:space="preserve">аренды лесного участка в установленном законодательством порядке.</w:t>
      </w:r>
      <w:r/>
    </w:p>
    <w:p>
      <w:pPr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jc w:val="right"/>
        <w:rPr>
          <w:color w:val="000000"/>
        </w:rPr>
      </w:pPr>
      <w:r>
        <w:rPr>
          <w:color w:val="000000"/>
        </w:rPr>
        <w:t xml:space="preserve">Таблица 8</w:t>
      </w:r>
      <w:r>
        <w:rPr>
          <w:color w:val="000000"/>
        </w:rPr>
      </w:r>
    </w:p>
    <w:p>
      <w:pPr>
        <w:jc w:val="right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jc w:val="center"/>
        <w:rPr>
          <w:color w:val="000000"/>
        </w:rPr>
      </w:pPr>
      <w:r>
        <w:rPr>
          <w:color w:val="000000"/>
        </w:rPr>
        <w:t xml:space="preserve">Сводные сведения о территории проекта межевания</w:t>
      </w:r>
      <w:r>
        <w:rPr>
          <w:color w:val="000000"/>
        </w:rPr>
      </w:r>
    </w:p>
    <w:p>
      <w:pPr>
        <w:jc w:val="center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133"/>
        <w:gridCol w:w="1700"/>
        <w:gridCol w:w="1806"/>
      </w:tblGrid>
      <w:tr>
        <w:tblPrEx/>
        <w:trPr>
          <w:trHeight w:val="68"/>
        </w:trPr>
        <w:tc>
          <w:tcPr>
            <w:shd w:val="clear" w:color="auto" w:fill="auto"/>
            <w:tcW w:w="3181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Наименование</w:t>
            </w:r>
            <w:r>
              <w:rPr>
                <w:lang w:val="en-US" w:bidi="en-US"/>
              </w:rPr>
              <w:t xml:space="preserve"> </w:t>
            </w:r>
            <w:r>
              <w:rPr>
                <w:lang w:val="en-US" w:bidi="en-US"/>
              </w:rPr>
              <w:t xml:space="preserve">показателей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882" w:type="pct"/>
            <w:textDirection w:val="lrTb"/>
            <w:noWrap w:val="false"/>
          </w:tcPr>
          <w:p>
            <w:pPr>
              <w:jc w:val="center"/>
              <w:rPr>
                <w:lang w:bidi="en-US"/>
              </w:rPr>
            </w:pPr>
            <w:r>
              <w:rPr>
                <w:lang w:val="en-US" w:bidi="en-US"/>
              </w:rPr>
              <w:t xml:space="preserve">Ед</w:t>
            </w:r>
            <w:r>
              <w:rPr>
                <w:lang w:bidi="en-US"/>
              </w:rPr>
              <w:t xml:space="preserve">иница</w:t>
            </w:r>
            <w:r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 xml:space="preserve">изм</w:t>
            </w:r>
            <w:r>
              <w:rPr>
                <w:lang w:bidi="en-US"/>
              </w:rPr>
              <w:t xml:space="preserve">ерения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937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Количество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3181" w:type="pct"/>
            <w:textDirection w:val="lrTb"/>
            <w:noWrap w:val="false"/>
          </w:tcPr>
          <w:p>
            <w:pPr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Площадь разработки проекта межевания территории всего, в т</w:t>
            </w:r>
            <w:r>
              <w:rPr>
                <w:lang w:bidi="en-US"/>
              </w:rPr>
              <w:t xml:space="preserve">ом</w:t>
            </w:r>
            <w:r>
              <w:rPr>
                <w:lang w:bidi="en-US"/>
              </w:rPr>
              <w:t xml:space="preserve"> ч</w:t>
            </w:r>
            <w:r>
              <w:rPr>
                <w:lang w:bidi="en-US"/>
              </w:rPr>
              <w:t xml:space="preserve">исле</w:t>
            </w:r>
            <w:r>
              <w:rPr>
                <w:lang w:bidi="en-US"/>
              </w:rPr>
              <w:t xml:space="preserve">: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882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га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37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38,5795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3181" w:type="pct"/>
            <w:textDirection w:val="lrTb"/>
            <w:noWrap w:val="false"/>
          </w:tcPr>
          <w:p>
            <w:pPr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1. </w:t>
            </w:r>
            <w:r>
              <w:rPr>
                <w:spacing w:val="-2"/>
                <w:lang w:bidi="en-US"/>
              </w:rPr>
              <w:t xml:space="preserve">Российская Федерация </w:t>
            </w:r>
            <w:r>
              <w:rPr>
                <w:spacing w:val="-2"/>
                <w:lang w:bidi="en-US"/>
              </w:rPr>
              <w:t xml:space="preserve">Ханты-Мансийский автономный округ – Югра</w:t>
            </w:r>
            <w:r>
              <w:rPr>
                <w:spacing w:val="-2"/>
                <w:lang w:bidi="en-US"/>
              </w:rPr>
              <w:t xml:space="preserve">, Кондинский район, Кондинское лесничество, </w:t>
            </w:r>
            <w:r>
              <w:rPr>
                <w:spacing w:val="-2"/>
                <w:lang w:bidi="en-US"/>
              </w:rPr>
              <w:t xml:space="preserve">Болчаровское</w:t>
            </w:r>
            <w:r>
              <w:rPr>
                <w:spacing w:val="-2"/>
                <w:lang w:bidi="en-US"/>
              </w:rPr>
              <w:t xml:space="preserve"> участковое лесничество, </w:t>
            </w:r>
            <w:r>
              <w:rPr>
                <w:spacing w:val="-2"/>
                <w:lang w:bidi="en-US"/>
              </w:rPr>
              <w:t xml:space="preserve">Болчаровское</w:t>
            </w:r>
            <w:r>
              <w:rPr>
                <w:spacing w:val="-2"/>
                <w:lang w:bidi="en-US"/>
              </w:rPr>
              <w:t xml:space="preserve"> урочище (земли лесного фонда)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882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га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37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27,9979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3181" w:type="pct"/>
            <w:textDirection w:val="lrTb"/>
            <w:noWrap w:val="false"/>
          </w:tcPr>
          <w:p>
            <w:pPr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2. </w:t>
            </w:r>
            <w:r>
              <w:rPr>
                <w:spacing w:val="-2"/>
                <w:lang w:bidi="en-US"/>
              </w:rPr>
              <w:t xml:space="preserve">Российская Федерация ХМАО-Югра, Кондинский район (земли запаса)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882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га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37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5,9854</w:t>
            </w:r>
            <w:r>
              <w:rPr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3181" w:type="pct"/>
            <w:textDirection w:val="lrTb"/>
            <w:noWrap w:val="false"/>
          </w:tcPr>
          <w:p>
            <w:pPr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3. Аренда</w:t>
            </w:r>
            <w:r>
              <w:rPr>
                <w:spacing w:val="-2"/>
                <w:lang w:bidi="en-US"/>
              </w:rPr>
              <w:t xml:space="preserve">, АО </w:t>
            </w:r>
            <w:r>
              <w:rPr>
                <w:spacing w:val="-2"/>
                <w:lang w:bidi="en-US"/>
              </w:rPr>
              <w:t xml:space="preserve">«</w:t>
            </w:r>
            <w:r>
              <w:rPr>
                <w:spacing w:val="-2"/>
                <w:lang w:bidi="en-US"/>
              </w:rPr>
              <w:t xml:space="preserve">НК «Конданефть</w:t>
            </w:r>
            <w:r>
              <w:rPr>
                <w:spacing w:val="-2"/>
                <w:lang w:bidi="en-US"/>
              </w:rPr>
              <w:t xml:space="preserve">»</w:t>
            </w:r>
            <w:r>
              <w:rPr>
                <w:lang w:bidi="en-US"/>
              </w:rPr>
              <w:t xml:space="preserve"> (</w:t>
            </w:r>
            <w:r>
              <w:rPr>
                <w:lang w:bidi="en-US"/>
              </w:rPr>
              <w:t xml:space="preserve">из</w:t>
            </w:r>
            <w:r>
              <w:rPr>
                <w:lang w:bidi="en-US"/>
              </w:rPr>
              <w:t xml:space="preserve"> ранее предоставленных)</w:t>
            </w:r>
            <w:r>
              <w:rPr>
                <w:lang w:bidi="en-US"/>
              </w:rPr>
            </w:r>
          </w:p>
        </w:tc>
        <w:tc>
          <w:tcPr>
            <w:shd w:val="clear" w:color="auto" w:fill="auto"/>
            <w:tcW w:w="882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га</w:t>
            </w:r>
            <w:r>
              <w:rPr>
                <w:lang w:val="en-US" w:bidi="en-US"/>
              </w:rPr>
            </w:r>
          </w:p>
        </w:tc>
        <w:tc>
          <w:tcPr>
            <w:shd w:val="clear" w:color="auto" w:fill="auto"/>
            <w:tcW w:w="937" w:type="pct"/>
            <w:textDirection w:val="lrTb"/>
            <w:noWrap w:val="false"/>
          </w:tcPr>
          <w:p>
            <w:pPr>
              <w:jc w:val="center"/>
              <w:rPr>
                <w:lang w:val="en-US" w:bidi="en-US"/>
              </w:rPr>
            </w:pPr>
            <w:r>
              <w:rPr>
                <w:bCs/>
                <w:lang w:val="en-US" w:bidi="en-US"/>
              </w:rPr>
              <w:t xml:space="preserve">4,5961</w:t>
            </w:r>
            <w:r>
              <w:rPr>
                <w:lang w:val="en-US" w:bidi="en-US"/>
              </w:rPr>
            </w:r>
          </w:p>
        </w:tc>
      </w:tr>
    </w:tbl>
    <w:p>
      <w:pPr>
        <w:contextualSpacing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889"/>
        <w:numPr>
          <w:ilvl w:val="0"/>
          <w:numId w:val="0"/>
        </w:numPr>
        <w:contextualSpacing/>
        <w:jc w:val="center"/>
        <w:rPr>
          <w:b w:val="0"/>
          <w:color w:val="000000"/>
        </w:rPr>
      </w:pPr>
      <w:r/>
      <w:bookmarkStart w:id="39" w:name="_Toc52788991"/>
      <w:r>
        <w:rPr>
          <w:b w:val="0"/>
          <w:color w:val="000000"/>
        </w:rPr>
        <w:t xml:space="preserve">2.2.</w:t>
      </w:r>
      <w:r>
        <w:rPr>
          <w:b w:val="0"/>
          <w:color w:val="000000"/>
        </w:rPr>
        <w:t xml:space="preserve"> Перечень координат характерных точек образуемых земельных участков</w:t>
      </w:r>
      <w:bookmarkEnd w:id="39"/>
      <w:r/>
      <w:r>
        <w:rPr>
          <w:b w:val="0"/>
          <w:color w:val="000000"/>
        </w:rPr>
      </w:r>
    </w:p>
    <w:p>
      <w:pPr>
        <w:pStyle w:val="889"/>
        <w:numPr>
          <w:ilvl w:val="0"/>
          <w:numId w:val="0"/>
        </w:numPr>
        <w:contextualSpacing/>
        <w:ind w:left="360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</w:r>
    </w:p>
    <w:p>
      <w:pPr>
        <w:contextualSpacing/>
        <w:ind w:firstLine="709"/>
        <w:spacing w:after="200"/>
        <w:rPr>
          <w:lang w:eastAsia="en-US" w:bidi="en-US"/>
        </w:rPr>
      </w:pPr>
      <w:r>
        <w:rPr>
          <w:lang w:eastAsia="en-US" w:bidi="en-US"/>
        </w:rPr>
        <w:t xml:space="preserve">Координаты характерных </w:t>
      </w:r>
      <w:r>
        <w:rPr>
          <w:lang w:eastAsia="en-US" w:bidi="en-US"/>
        </w:rPr>
        <w:t xml:space="preserve">точек, образуемых земельных </w:t>
      </w:r>
      <w:r>
        <w:rPr>
          <w:lang w:eastAsia="en-US" w:bidi="en-US"/>
        </w:rPr>
        <w:t xml:space="preserve">участков </w:t>
      </w:r>
      <w:r>
        <w:rPr>
          <w:lang w:eastAsia="en-US" w:bidi="en-US"/>
        </w:rPr>
        <w:t xml:space="preserve">указаны</w:t>
      </w:r>
      <w:r>
        <w:rPr>
          <w:lang w:eastAsia="en-US" w:bidi="en-US"/>
        </w:rPr>
        <w:t xml:space="preserve"> в таблице </w:t>
      </w:r>
      <w:r>
        <w:rPr>
          <w:lang w:eastAsia="en-US" w:bidi="en-US"/>
        </w:rPr>
        <w:t xml:space="preserve">9</w:t>
      </w:r>
      <w:r>
        <w:rPr>
          <w:lang w:eastAsia="en-US" w:bidi="en-US"/>
        </w:rPr>
        <w:t xml:space="preserve">.</w:t>
      </w:r>
      <w:r>
        <w:rPr>
          <w:lang w:eastAsia="en-US" w:bidi="en-US"/>
        </w:rPr>
      </w:r>
    </w:p>
    <w:p>
      <w:pPr>
        <w:contextualSpacing/>
        <w:ind w:firstLine="709"/>
        <w:spacing w:after="200"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contextualSpacing/>
        <w:jc w:val="right"/>
        <w:spacing w:after="200"/>
        <w:rPr>
          <w:lang w:eastAsia="en-US" w:bidi="en-US"/>
        </w:rPr>
      </w:pPr>
      <w:r>
        <w:rPr>
          <w:lang w:eastAsia="en-US" w:bidi="en-US"/>
        </w:rPr>
        <w:t xml:space="preserve">Таблица </w:t>
      </w:r>
      <w:r>
        <w:rPr>
          <w:lang w:eastAsia="en-US" w:bidi="en-US"/>
        </w:rPr>
        <w:t xml:space="preserve">9</w:t>
      </w:r>
      <w:r>
        <w:rPr>
          <w:lang w:eastAsia="en-US" w:bidi="en-US"/>
        </w:rPr>
      </w:r>
    </w:p>
    <w:p>
      <w:pPr>
        <w:contextualSpacing/>
        <w:jc w:val="right"/>
        <w:spacing w:after="200"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contextualSpacing/>
        <w:jc w:val="center"/>
        <w:spacing w:after="200"/>
        <w:rPr>
          <w:lang w:eastAsia="en-US" w:bidi="en-US"/>
        </w:rPr>
      </w:pPr>
      <w:r>
        <w:rPr>
          <w:lang w:eastAsia="en-US" w:bidi="en-US"/>
        </w:rPr>
        <w:t xml:space="preserve">Координаты характерных точек земельных участков</w:t>
      </w:r>
      <w:r>
        <w:rPr>
          <w:lang w:eastAsia="en-US" w:bidi="en-US"/>
        </w:rPr>
      </w:r>
    </w:p>
    <w:p>
      <w:pPr>
        <w:contextualSpacing/>
        <w:spacing w:after="200"/>
        <w:rPr>
          <w:lang w:eastAsia="en-US" w:bidi="en-US"/>
        </w:rPr>
      </w:pPr>
      <w:r>
        <w:rPr>
          <w:lang w:eastAsia="en-US" w:bidi="en-US"/>
        </w:rPr>
      </w:r>
      <w:r>
        <w:rPr>
          <w:lang w:eastAsia="en-US" w:bidi="en-US"/>
        </w:rPr>
      </w:r>
    </w:p>
    <w:p>
      <w:pPr>
        <w:jc w:val="center"/>
        <w:rPr>
          <w:color w:val="000000"/>
          <w:sz w:val="22"/>
        </w:rPr>
        <w:sectPr>
          <w:footnotePr/>
          <w:endnotePr/>
          <w:type w:val="continuous"/>
          <w:pgSz w:w="11906" w:h="16838" w:orient="portrait"/>
          <w:pgMar w:top="1134" w:right="567" w:bottom="992" w:left="1701" w:header="709" w:footer="709" w:gutter="0"/>
          <w:cols w:num="1" w:sep="0" w:space="708" w:equalWidth="1"/>
          <w:docGrid w:linePitch="360"/>
        </w:sectPr>
      </w:pPr>
      <w:r>
        <w:rPr>
          <w:color w:val="000000"/>
          <w:sz w:val="22"/>
        </w:rPr>
      </w:r>
      <w:r>
        <w:rPr>
          <w:color w:val="000000"/>
          <w:sz w:val="22"/>
        </w:rPr>
      </w:r>
    </w:p>
    <w:tbl>
      <w:tblPr>
        <w:tblW w:w="3340" w:type="dxa"/>
        <w:jc w:val="center"/>
        <w:tblLook w:val="04A0" w:firstRow="1" w:lastRow="0" w:firstColumn="1" w:lastColumn="0" w:noHBand="0" w:noVBand="1"/>
      </w:tblPr>
      <w:tblGrid>
        <w:gridCol w:w="659"/>
        <w:gridCol w:w="1492"/>
        <w:gridCol w:w="1276"/>
      </w:tblGrid>
      <w:tr>
        <w:tblPrEx/>
        <w:trPr>
          <w:jc w:val="center"/>
          <w:trHeight w:val="68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точки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Х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Ку</w:t>
            </w:r>
            <w:r>
              <w:rPr>
                <w:color w:val="000000"/>
                <w:sz w:val="18"/>
                <w:szCs w:val="18"/>
              </w:rPr>
              <w:t xml:space="preserve">ст скв</w:t>
            </w:r>
            <w:r>
              <w:rPr>
                <w:color w:val="000000"/>
                <w:sz w:val="18"/>
                <w:szCs w:val="18"/>
              </w:rPr>
              <w:t xml:space="preserve">ажин № 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874080.83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2664579.20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874084.28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2664570.01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874075.16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2664566.66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874092.39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2664518.43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874100.04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2664499.89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874133.27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2664505.68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874209.77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2664288.49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874184.71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2664271.50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874097.18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2664239.50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873999.84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2664504.67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873985.29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2664544.31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874080.83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2664579.20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</w:t>
            </w: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874209.77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2664288.49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874184.71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2664271.50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874097.18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2664239.50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873999.84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2664504.67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873940.57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2664482.99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874027.59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2664244.31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873968.64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2664222.53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874006.44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2664118.55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874049.98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2664134.42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874038.84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2664164.96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874071.27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2664176.77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874083.23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2664144.10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874248.50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2664204.72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874217.10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2664291.08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874209.77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2664288.49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Противопожарная вырубка куста скважин № 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86:01:0000000:10648:ЗУ3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874293.00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2664204.18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874269.63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2664165.40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874008.16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2664073.17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873969.20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2664088.61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873922.08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2664222.17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873938.67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2664259.90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873997.90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2664280.77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873923.64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2664490.99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873965.89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2664573.71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874081.00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2664614.31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874120.86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2664583.46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874084.28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2664570.01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874080.83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2664579.20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873985.29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2664544.31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873999.84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2664504.67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873940.57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2664482.99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874027.59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2664244.31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873968.64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2664222.53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874006.44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2664118.55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874049.98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2664134.42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874038.84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2664164.96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874071.27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2664176.77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874083.23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2664144.10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874248.50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2664204.72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874217.10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2664291.08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874257.12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2664305.20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874293.00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2664204.18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86:01:0000000:10648:ЗУ3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874229.81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2664339.09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874211.42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2664344.00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874221.99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2664314.01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874245.42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2664322.28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874229.81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2664339.09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Автомобильная дорога на ку</w:t>
            </w:r>
            <w:r>
              <w:rPr>
                <w:color w:val="000000"/>
                <w:sz w:val="18"/>
                <w:szCs w:val="18"/>
              </w:rPr>
              <w:t xml:space="preserve">ст скв</w:t>
            </w:r>
            <w:r>
              <w:rPr>
                <w:color w:val="000000"/>
                <w:sz w:val="18"/>
                <w:szCs w:val="18"/>
              </w:rPr>
              <w:t xml:space="preserve">ажин № 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874209.77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2664288.49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874133.27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2664505.68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874152.13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2664512.32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874155.54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2664502.64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874169.22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2664463.81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874211.42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2664344.00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874221.99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2664314.01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874245.42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2664322.28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874268.23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2664330.34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874276.96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2664333.02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874283.10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2664335.62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874295.62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2664344.30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874303.74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2664350.47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874311.29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2664357.34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874318.19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2664364.85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874324.41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2664372.95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874329.87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2664381.56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874334.67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2664390.82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874364.67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2664455.75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874369.59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2664465.35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874375.37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2664474.69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874381.90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2664483.53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874389.14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2664491.82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874400.84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2664502.63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874404.70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874423.87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2664520.42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874427.85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2664523.44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874451.97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2664541.76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874456.29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2664531.83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874459.05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2664522.02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874439.79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2664507.40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874435.82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2664504.38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874416.61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2664489.72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874412.75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2664486.53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874403.66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2664478.04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874397.50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2664470.99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874391.95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2664463.47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874387.01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2664455.51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874382.65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2664446.99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874352.63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2664382.02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874347.23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2664371.58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874340.81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2664361.47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874333.51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2664351.97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874325.41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2664343.16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874316.56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2664335.09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874307.02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2664327.84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874297.07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2664321.05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874286.41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2664315.56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874275.43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2664311.31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874257.12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2664305.20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874217.10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2664291.08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874209.77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2664288.49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874966.60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2665390.62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874992.60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2665403.55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2665431.24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874985.81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2665427.26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874976.68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2665418.38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874966.60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2665390.62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  <w:t xml:space="preserve"> (контур 3)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875036.51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2665540.98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875049.05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2665617.71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875024.29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2665549.52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875036.51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2665540.98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874459.05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2664522.02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874456.29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2664531.83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874451.97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2664541.76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874680.48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2664715.27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874695.79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2664727.91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874709.86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2664741.62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874722.76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2664756.42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874734.41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2664772.24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874740.28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2664781.75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874744.73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2664788.95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874753.63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2664806.45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874761.17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2664824.82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2664934.63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2664914.54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874808.14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2664895.58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874779.83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2664817.60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874771.83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2664798.11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874762.17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2664779.15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874750.99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2664761.04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874738.38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2664743.9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874724.40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2664727.86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874709.15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2664713.01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874692.90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2664699.59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874459.05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2664522.02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2665431.24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875041.29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2665537.63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875036.51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2665540.98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875024.29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2665549.52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874976.68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2665418.38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874985.81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2665427.26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2665431.24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86:01:0603001:516:ЗУ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874992.60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2665403.55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874435.82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2664504.38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2664934.63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2664914.54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874808.14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2664895.58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874992.60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2665403.55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86:01:0603001:516:ЗУ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875036.51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2665540.98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875041.29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2665537.63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875164.63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2665877.43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875169.62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2665889.42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875175.56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2665900.71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875182.52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2665911.41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875190.41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2665921.43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875199.19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2665930.69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875208.94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2665939.26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875228.83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875203.14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2665960.21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875196.08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2665954.58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875185.31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2665945.11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875175.27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875166.24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2665923.07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875158.30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2665910.83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875151.50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2665897.94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875145.99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2665884.69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875049.05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2665617.71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875036.51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2665540.98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86:01:0603001:526:ЗУ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875228.83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875276.04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2665993.03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875203.14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2665960.21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875228.83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86:01:0603001:515:ЗУ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875528.42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2666220.84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875276.11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2665993.08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875545.96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2666209.28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875528.42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2666220.84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86:01:0000000:10622:ЗУ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875276.04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2665993.03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875276.11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2665993.08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875276.04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2665993.03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ВЛ</w:t>
            </w:r>
            <w:r>
              <w:rPr>
                <w:color w:val="000000"/>
                <w:sz w:val="18"/>
                <w:szCs w:val="18"/>
              </w:rPr>
              <w:t xml:space="preserve"> 10 </w:t>
            </w:r>
            <w:r>
              <w:rPr>
                <w:color w:val="000000"/>
                <w:sz w:val="18"/>
                <w:szCs w:val="18"/>
              </w:rPr>
              <w:t xml:space="preserve">кВ</w:t>
            </w:r>
            <w:r>
              <w:rPr>
                <w:color w:val="000000"/>
                <w:sz w:val="18"/>
                <w:szCs w:val="18"/>
              </w:rPr>
              <w:t xml:space="preserve"> до кустовой площадки № 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86:01:0000000:10648:ЗУ5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874092.39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2664518.43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874075.16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2664566.66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874084.28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2664570.01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874120.86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2664583.46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874261.71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2664635.25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874416.86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2664569.51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874459.24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2664602.76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874544.24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2664669.97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874536.50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2664646.00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874523.48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2664609.84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874501.02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2664600.43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874482.37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2664599.75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874459.27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2664602.71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874442.13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2664564.40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874448.09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2664550.70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874422.15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2664530.35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874413.87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2664533.86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874398.10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2664548.33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874288.98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2664595.73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874272.74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2664593.65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874260.72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2664598.74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874127.10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2664550.91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874131.68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2664538.12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874133.46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2664533.14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874092.39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2664518.43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86:01:0000000:10648:ЗУ5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874976.68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2665418.38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874967.81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2665409.76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874937.69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2665383.36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874921.09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2665370.45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874919.98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2665367.43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874966.60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2665390.62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874976.68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2665418.38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86:01:0000000:10648:ЗУ5 (контур 3)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875035.14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2665681.17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875041.01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2665671.53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875041.43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2665663.10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875030.49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2665631.34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875021.25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2665605.94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875011.68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2665584.63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875014.64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2665568.27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875023.73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2665549.91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875024.29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2665549.52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875049.05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2665617.71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875054.38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2665650.32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875047.88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2665715.87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875035.14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2665681.17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</w:t>
            </w: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874544.24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2664669.97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874536.50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2664646.00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874523.48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2664609.84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874501.02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2664600.43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874482.37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2664599.75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874459.27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2664602.71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874442.13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2664564.40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874448.09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2664550.70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874523.50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2664609.81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874740.28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2664781.75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874744.73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2664788.95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874753.63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2664806.45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874761.17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2664824.82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2664934.63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2664960.30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874792.50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2665012.05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874790.96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2665015.96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874712.98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2664803.52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874544.24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2664669.97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</w:t>
            </w: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875035.14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2665681.17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875041.01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2665671.53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875041.43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2665663.10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875030.49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2665631.34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875021.25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2665605.94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875011.68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2665584.63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875014.64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2665568.27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875023.73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2665549.91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875024.29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2665549.52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874976.68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2665418.38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874967.81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2665409.76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874937.69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2665383.36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874921.09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2665370.45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875035.14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2665681.17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86:01:0603001:516:ЗУ</w:t>
            </w: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2664934.63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2664960.30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874792.50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2665012.05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874790.96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2665015.96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874919.98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2665367.43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874966.60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2665390.62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874801.04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2664934.63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86:01:0603001:516:ЗУ</w:t>
            </w: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875049.05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2665617.71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875054.38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2665650.32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875047.88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2665715.87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875133.33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2665948.66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875158.62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2665968.93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875203.14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2665960.21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875196.08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2665954.58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875185.31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2665945.11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875175.27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875166.24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2665923.07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875158.30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2665910.83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875151.50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2665897.94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875145.99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2665884.69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875049.05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2665617.71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86:01:0603001:526:ЗУ</w:t>
            </w: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875158.62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2665968.93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875203.14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2665960.21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875205.70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2666006.67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875158.62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2665968.93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86:01:0000000:10622:ЗУ</w:t>
            </w: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875205.75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2666006.71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875205.70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2666006.67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86:01:0603001:515:ЗУ</w:t>
            </w:r>
            <w:r>
              <w:rPr>
                <w:color w:val="000000"/>
                <w:sz w:val="18"/>
                <w:szCs w:val="18"/>
              </w:rPr>
              <w:t xml:space="preserve">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875205.75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2666006.71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875241.39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2666035.27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875247.14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2666028.24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875406.50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2666156.73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875407.23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2666168.20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875499.56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2666242.21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875505.09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2666236.22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875528.42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2666220.84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875250.36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2665998.07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Нефтегазосборный трубопровод от кустовой площадки № 40 до т.35а; Высоконапорный водовод от  т.34 до кустовой площадки №40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86:01:0603001:2503:ЗУ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874092.39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2664518.43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874100.04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2664499.89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874133.27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2664505.68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874152.13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2664512.32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874155.54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2664502.64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874161.44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2664509.01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874156.74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2664522.20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874288.68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2664574.13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874385.25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2664532.12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874404.70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874423.87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2664520.42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874413.87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2664533.86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874398.10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2664548.33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874288.98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2664595.73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874272.74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2664593.65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874131.68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2664538.12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874133.46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2664533.14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874092.39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2664518.43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86:01:0603001:2503:ЗУ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874468.71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2664480.93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874439.24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2664459.13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874416.61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2664489.72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874435.82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2664504.38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874444.42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2664492.82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874463.33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2664506.81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874463.82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874468.71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2664480.93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86:01:0603001:2503:ЗУ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3)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875008.00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2665411.21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875015.94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2665415.16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875019.21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86:01:0603001:ЗУ3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874813.04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2664882.47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874810.77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2664876.31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874804.63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2664860.97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874739.65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2664711.16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874463.33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2664506.81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874463.82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874468.71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2664480.93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874759.16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2664695.76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874825.68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2664849.21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874822.52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2664857.10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874813.04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2664882.47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86:01:0603001:ЗУ3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875018.59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2665435.00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875019.21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875035.15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2665439.77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875052.94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2665461.50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875062.08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2665486.94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875060.46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2665522.36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875051.62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2665529.50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86:01:0603001:516:ЗУ3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875008.00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2665411.21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875015.94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2665415.16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875019.21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875035.15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2665439.77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875052.94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2665461.50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874833.15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2664867.62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874829.02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2664857.05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874826.78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2664851.76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874825.68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2664849.22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874822.52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2664857.10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874813.04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2664882.47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875008.00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2665411.21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86:01:0603001:516:ЗУ3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875235.17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2665953.94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875229.51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2665949.44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875196.34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2665921.97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875051.62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2665529.50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875060.46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2665522.36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875062.08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2665486.94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875216.57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2665907.58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875239.57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2665926.69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875266.20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2665947.86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875235.17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2665953.94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86:01:0603001:526:ЗУ3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875282.65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2665991.75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875235.17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2665953.94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875266.20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2665947.86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875313.76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2665985.72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875282.65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2665991.75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86:01:0000000:10622:ЗУ3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875282.70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2665991.80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875282.65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2665991.75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875313.76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2665985.72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875313.83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2665985.78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875282.70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2665991.80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86:01:0603001:515:ЗУ3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875551.33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2666205.74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875282.70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2665991.80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875313.83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2665985.78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875572.64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2666191.69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875551.33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2666205.74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Временный </w:t>
            </w:r>
            <w:r>
              <w:rPr>
                <w:color w:val="000000"/>
                <w:sz w:val="18"/>
                <w:szCs w:val="18"/>
              </w:rPr>
              <w:t xml:space="preserve">вдольтрассовый</w:t>
            </w:r>
            <w:r>
              <w:rPr>
                <w:color w:val="000000"/>
                <w:sz w:val="18"/>
                <w:szCs w:val="18"/>
              </w:rPr>
              <w:t xml:space="preserve"> проезд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86:01:0603001:2504:ЗУ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874272.74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2664593.65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874260.72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2664598.74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874127.10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2664550.91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874131.68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2664538.12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874272.74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2664593.65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86:01:0603001:2504:ЗУ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874423.87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2664520.42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874427.85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2664523.44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874422.15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2664530.35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874413.87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2664533.86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874423.87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2664520.42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86:01:0603001:2504:ЗУ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3)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874439.79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2664507.40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874435.82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2664504.38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874444.42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2664492.82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874463.33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2664506.81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874461.88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2664511.97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874445.44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2664499.81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874439.79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2664507.40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86:01:0603001:2504:ЗУ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4)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874404.70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874400.84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2664502.63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874382.03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2664528.07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874288.59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2664568.73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874166.35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2664520.61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874172.28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2664487.98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874169.22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2664463.81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874155.54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2664502.64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874161.44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2664509.01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874156.74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2664522.20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874288.68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2664574.13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874385.25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2664532.12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874404.70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2664505.82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86:01:0603001:2504:ЗУ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5)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874416.61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2664489.72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874412.75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2664486.53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874438.19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2664452.14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874469.21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2664475.08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874469.22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2664478.39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874468.71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2664480.93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874439.24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2664459.13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874416.61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2664489.72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86:01:0603001:2504:ЗУ</w:t>
            </w:r>
            <w:r>
              <w:rPr>
                <w:color w:val="000000"/>
                <w:sz w:val="18"/>
                <w:szCs w:val="18"/>
              </w:rPr>
              <w:t xml:space="preserve">1</w:t>
            </w:r>
            <w:r>
              <w:rPr>
                <w:color w:val="000000"/>
                <w:sz w:val="18"/>
                <w:szCs w:val="18"/>
              </w:rPr>
              <w:t xml:space="preserve"> (контур 6)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875008.00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2665411.21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874992.60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2665403.55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2665431.24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874469.21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2664475.08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874469.22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2664478.39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874468.71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2664480.93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874759.16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2664695.76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874825.68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2664849.21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874828.33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2664842.59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874763.21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2664692.54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874469.21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2664475.08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874463.33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2664506.81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874461.88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2664511.97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874735.60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2664714.39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874771.83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2664798.11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874779.83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2664817.60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874808.14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2664895.58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874813.04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2664882.47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874810.77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2664876.31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874804.63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2664860.97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874739.65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2664711.16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874463.33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2664506.81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  <w:t xml:space="preserve"> (контур 3)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2665431.24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875016.60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2665434.53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875051.62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2665529.50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875043.26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2665536.25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875041.29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2665537.63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2665431.24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86:01:0603001:516:ЗУ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  <w:t xml:space="preserve"> (контур 1)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874808.14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2664895.58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874813.04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2664882.47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875008.00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2665411.21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874992.60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2665403.55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874808.14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2664895.58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86:01:0603001:516:ЗУ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  <w:t xml:space="preserve"> (контур 2)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875051.62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2665529.50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875043.26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2665536.25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875041.29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2665537.63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875164.63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2665877.43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875169.62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2665889.42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875175.56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2665900.71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875182.52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2665911.41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875190.41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2665921.43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875199.19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2665930.69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875208.94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2665939.26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875228.83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875235.17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2665953.94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209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875229.51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2665949.44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875196.34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2665921.97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875051.62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2665529.50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86:01:0603001:526:ЗУ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875228.83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208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875235.17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2665953.94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875282.65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2665991.75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212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875276.04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2665993.03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207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875228.83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2665955.18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gridSpan w:val="3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86:01:0603001:515:ЗУ</w:t>
            </w:r>
            <w:r>
              <w:rPr>
                <w:color w:val="000000"/>
                <w:sz w:val="18"/>
                <w:szCs w:val="18"/>
              </w:rPr>
              <w:t xml:space="preserve">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875276.11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2665993.08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214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875545.96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2666209.28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215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875551.33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2666205.74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216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875282.70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2665991.80</w:t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>
          <w:jc w:val="center"/>
          <w:trHeight w:val="6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213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2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875276.11</w:t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2665993.08</w:t>
            </w:r>
            <w:r>
              <w:rPr>
                <w:color w:val="000000"/>
                <w:sz w:val="18"/>
                <w:szCs w:val="18"/>
              </w:rPr>
            </w:r>
          </w:p>
        </w:tc>
      </w:tr>
    </w:tbl>
    <w:p>
      <w:pPr>
        <w:spacing w:after="160" w:line="259" w:lineRule="auto"/>
        <w:rPr>
          <w:color w:val="000000"/>
        </w:rPr>
        <w:sectPr>
          <w:footnotePr/>
          <w:endnotePr/>
          <w:type w:val="continuous"/>
          <w:pgSz w:w="11906" w:h="16838" w:orient="portrait"/>
          <w:pgMar w:top="1134" w:right="567" w:bottom="992" w:left="1701" w:header="709" w:footer="709" w:gutter="0"/>
          <w:cols w:num="2" w:sep="0" w:space="708" w:equalWidth="1"/>
          <w:docGrid w:linePitch="360"/>
        </w:sectPr>
      </w:pPr>
      <w:r>
        <w:rPr>
          <w:color w:val="000000"/>
        </w:rPr>
      </w:r>
      <w:r>
        <w:rPr>
          <w:color w:val="000000"/>
        </w:rPr>
      </w:r>
    </w:p>
    <w:p>
      <w:pPr>
        <w:jc w:val="center"/>
        <w:spacing w:after="160"/>
        <w:rPr>
          <w:color w:val="000000"/>
        </w:rPr>
      </w:pPr>
      <w:r/>
      <w:bookmarkStart w:id="40" w:name="_Toc52788992"/>
      <w:r/>
      <w:r>
        <w:rPr>
          <w:color w:val="000000"/>
        </w:rPr>
      </w:r>
    </w:p>
    <w:p>
      <w:pPr>
        <w:jc w:val="center"/>
        <w:rPr>
          <w:color w:val="000000"/>
        </w:rPr>
      </w:pPr>
      <w:r>
        <w:rPr>
          <w:color w:val="000000"/>
        </w:rPr>
        <w:t xml:space="preserve">2.3. </w:t>
      </w:r>
      <w:r>
        <w:rPr>
          <w:color w:val="000000"/>
        </w:rPr>
        <w:t xml:space="preserve">Сведения о границах территории, применительно к которой осуществляется подготовка проекта межевания</w:t>
      </w:r>
      <w:bookmarkEnd w:id="40"/>
      <w:r/>
      <w:r>
        <w:rPr>
          <w:color w:val="000000"/>
        </w:rPr>
      </w:r>
    </w:p>
    <w:p>
      <w:r/>
      <w:r/>
    </w:p>
    <w:p>
      <w:pPr>
        <w:contextualSpacing/>
        <w:ind w:firstLine="709"/>
        <w:jc w:val="both"/>
        <w:rPr>
          <w:color w:val="000000"/>
        </w:rPr>
      </w:pPr>
      <w:r>
        <w:rPr>
          <w:color w:val="000000"/>
        </w:rPr>
        <w:t xml:space="preserve">Координаты характерных точек границ территории, применительно к которой осуществляется подготовка проекта межевания</w:t>
      </w:r>
      <w:r>
        <w:rPr>
          <w:color w:val="000000"/>
        </w:rPr>
        <w:t xml:space="preserve">,</w:t>
      </w:r>
      <w:r>
        <w:rPr>
          <w:color w:val="000000"/>
        </w:rPr>
        <w:t xml:space="preserve"> указаны в таблице </w:t>
      </w:r>
      <w:r>
        <w:rPr>
          <w:color w:val="000000"/>
        </w:rPr>
        <w:t xml:space="preserve">10</w:t>
      </w:r>
      <w:r>
        <w:rPr>
          <w:color w:val="000000"/>
        </w:rPr>
        <w:t xml:space="preserve">.</w:t>
      </w:r>
      <w:r>
        <w:rPr>
          <w:color w:val="000000"/>
        </w:rPr>
      </w:r>
    </w:p>
    <w:p>
      <w:pPr>
        <w:contextualSpacing/>
        <w:jc w:val="right"/>
        <w:rPr>
          <w:color w:val="000000"/>
        </w:rPr>
      </w:pPr>
      <w:r>
        <w:rPr>
          <w:color w:val="000000"/>
        </w:rPr>
        <w:t xml:space="preserve">Таблица </w:t>
      </w:r>
      <w:r>
        <w:rPr>
          <w:color w:val="000000"/>
        </w:rPr>
        <w:t xml:space="preserve">10</w:t>
      </w:r>
      <w:r>
        <w:rPr>
          <w:color w:val="000000"/>
        </w:rPr>
        <w:t xml:space="preserve"> </w:t>
      </w:r>
      <w:r>
        <w:rPr>
          <w:color w:val="000000"/>
        </w:rPr>
      </w:r>
    </w:p>
    <w:p>
      <w:pPr>
        <w:contextualSpacing/>
        <w:jc w:val="right"/>
        <w:rPr>
          <w:color w:val="000000"/>
        </w:rPr>
      </w:pPr>
      <w:r>
        <w:rPr>
          <w:color w:val="000000"/>
        </w:rPr>
        <w:t xml:space="preserve">       </w:t>
      </w:r>
      <w:r>
        <w:rPr>
          <w:color w:val="000000"/>
        </w:rPr>
      </w:r>
    </w:p>
    <w:p>
      <w:pPr>
        <w:contextualSpacing/>
        <w:jc w:val="center"/>
        <w:rPr>
          <w:color w:val="000000"/>
        </w:rPr>
      </w:pPr>
      <w:r>
        <w:rPr>
          <w:color w:val="000000"/>
        </w:rPr>
        <w:t xml:space="preserve">Координаты характерных точек границ территории, применительно к которой осуществляется подготовка проекта межевания</w:t>
      </w:r>
      <w:r>
        <w:rPr>
          <w:color w:val="000000"/>
        </w:rPr>
      </w:r>
    </w:p>
    <w:p>
      <w:pPr>
        <w:contextualSpacing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jc w:val="center"/>
        <w:rPr>
          <w:color w:val="000000"/>
        </w:rPr>
        <w:sectPr>
          <w:footnotePr/>
          <w:endnotePr/>
          <w:type w:val="continuous"/>
          <w:pgSz w:w="11906" w:h="16838" w:orient="portrait"/>
          <w:pgMar w:top="1134" w:right="567" w:bottom="992" w:left="1701" w:header="709" w:footer="709" w:gutter="0"/>
          <w:cols w:num="1" w:sep="0" w:space="708" w:equalWidth="1"/>
          <w:docGrid w:linePitch="360"/>
        </w:sectPr>
      </w:pPr>
      <w:r>
        <w:rPr>
          <w:color w:val="000000"/>
        </w:rPr>
      </w:r>
      <w:r>
        <w:rPr>
          <w:color w:val="000000"/>
        </w:rPr>
      </w:r>
    </w:p>
    <w:tbl>
      <w:tblPr>
        <w:tblW w:w="40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807"/>
        <w:gridCol w:w="1550"/>
        <w:gridCol w:w="1678"/>
      </w:tblGrid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№ точки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237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875722.6760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2666132.0680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238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875765.3718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2666288.2380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239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875701.7977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2666344.0630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240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875697.8691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2666384.9460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241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875476.6849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2666702.8960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242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874699.8718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2666098.9670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243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874993.7330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2665707.3040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244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874721.4046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2664945.5230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245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874521.2756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2664679.3420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246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874413.2852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2664640.9110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247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874262.6672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2664709.8860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248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873761.3129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2664560.6990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249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873968.8398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2663940.6410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250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874402.3179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2664113.1240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251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874336.7168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2664290.7530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252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874814.5620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2664672.7020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253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875268.8142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2665907.9280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254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875510.0692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2666100.9890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255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875612.3485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2666044.4080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256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875659.2245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2666125.1700</w:t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shd w:val="clear" w:color="auto" w:fill="auto"/>
            <w:tcW w:w="807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237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55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875722.6760</w:t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1678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2666132.0680</w:t>
            </w: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contextualSpacing/>
        <w:rPr>
          <w:color w:val="000000"/>
        </w:rPr>
        <w:sectPr>
          <w:footnotePr/>
          <w:endnotePr/>
          <w:type w:val="continuous"/>
          <w:pgSz w:w="11906" w:h="16838" w:orient="portrait"/>
          <w:pgMar w:top="1134" w:right="567" w:bottom="992" w:left="1701" w:header="709" w:footer="709" w:gutter="0"/>
          <w:cols w:num="2" w:sep="0" w:space="708" w:equalWidth="1"/>
          <w:docGrid w:linePitch="360"/>
        </w:sectPr>
      </w:pPr>
      <w:r>
        <w:rPr>
          <w:color w:val="000000"/>
        </w:rPr>
      </w:r>
      <w:r>
        <w:rPr>
          <w:color w:val="000000"/>
        </w:rPr>
      </w:r>
    </w:p>
    <w:p>
      <w:pPr>
        <w:contextualSpacing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889"/>
        <w:numPr>
          <w:ilvl w:val="0"/>
          <w:numId w:val="0"/>
        </w:numPr>
        <w:contextualSpacing/>
        <w:ind w:left="360" w:hanging="360"/>
        <w:jc w:val="center"/>
        <w:tabs>
          <w:tab w:val="left" w:pos="993" w:leader="none"/>
        </w:tabs>
        <w:rPr>
          <w:b w:val="0"/>
          <w:color w:val="000000"/>
        </w:rPr>
      </w:pPr>
      <w:r/>
      <w:bookmarkStart w:id="41" w:name="_Toc52788993"/>
      <w:r>
        <w:rPr>
          <w:b w:val="0"/>
          <w:color w:val="000000"/>
        </w:rPr>
        <w:t xml:space="preserve">2.4. </w:t>
      </w:r>
      <w:r>
        <w:rPr>
          <w:b w:val="0"/>
          <w:color w:val="000000"/>
        </w:rPr>
        <w:t xml:space="preserve">Вид разрешенного использования </w:t>
      </w:r>
      <w:r>
        <w:rPr>
          <w:b w:val="0"/>
          <w:color w:val="000000"/>
        </w:rPr>
        <w:t xml:space="preserve">образуемых</w:t>
      </w:r>
      <w:r>
        <w:rPr>
          <w:b w:val="0"/>
          <w:color w:val="000000"/>
        </w:rPr>
        <w:t xml:space="preserve"> земельных участков, предназначенных для размещения линейных объектов и объектов капитальн</w:t>
      </w:r>
      <w:r>
        <w:rPr>
          <w:b w:val="0"/>
          <w:color w:val="000000"/>
        </w:rPr>
        <w:t xml:space="preserve">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41"/>
      <w:r/>
      <w:r>
        <w:rPr>
          <w:b w:val="0"/>
          <w:color w:val="000000"/>
        </w:rPr>
      </w:r>
    </w:p>
    <w:p>
      <w:r/>
      <w:r/>
    </w:p>
    <w:p>
      <w:pPr>
        <w:contextualSpacing/>
        <w:ind w:firstLine="709"/>
        <w:jc w:val="both"/>
        <w:rPr>
          <w:color w:val="000000"/>
        </w:rPr>
      </w:pPr>
      <w:r>
        <w:rPr>
          <w:color w:val="000000"/>
        </w:rPr>
        <w:t xml:space="preserve">Данные о виде разрешенного использования образуемых земельных участков, предназначенных для размещения линейных объектов и объектов капитального строитель</w:t>
      </w:r>
      <w:r>
        <w:rPr>
          <w:color w:val="000000"/>
        </w:rPr>
        <w:t xml:space="preserve">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 приведены в </w:t>
      </w:r>
      <w:r>
        <w:rPr>
          <w:color w:val="000000"/>
        </w:rPr>
        <w:t xml:space="preserve">столбце 6 таблицы 1 данного тома. </w:t>
      </w:r>
      <w:r>
        <w:rPr>
          <w:color w:val="000000"/>
        </w:rPr>
      </w:r>
    </w:p>
    <w:p>
      <w:pPr>
        <w:contextualSpacing/>
        <w:ind w:firstLine="709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889"/>
        <w:numPr>
          <w:ilvl w:val="0"/>
          <w:numId w:val="0"/>
        </w:numPr>
        <w:contextualSpacing/>
        <w:jc w:val="center"/>
        <w:tabs>
          <w:tab w:val="left" w:pos="993" w:leader="none"/>
        </w:tabs>
        <w:rPr>
          <w:b w:val="0"/>
          <w:color w:val="000000"/>
        </w:rPr>
      </w:pPr>
      <w:r/>
      <w:bookmarkStart w:id="42" w:name="_Toc525213907"/>
      <w:r/>
      <w:bookmarkStart w:id="43" w:name="_Toc529460670"/>
      <w:r/>
      <w:bookmarkStart w:id="44" w:name="_Toc535234976"/>
      <w:r/>
      <w:bookmarkStart w:id="45" w:name="_Toc535235025"/>
      <w:r/>
      <w:bookmarkStart w:id="46" w:name="_Toc1150781"/>
      <w:r/>
      <w:bookmarkStart w:id="47" w:name="_Toc10789587"/>
      <w:r/>
      <w:bookmarkStart w:id="48" w:name="_Toc11166087"/>
      <w:r/>
      <w:bookmarkStart w:id="49" w:name="_Toc11764065"/>
      <w:r/>
      <w:bookmarkStart w:id="50" w:name="_Toc19517589"/>
      <w:r/>
      <w:bookmarkStart w:id="51" w:name="_Toc28615475"/>
      <w:r/>
      <w:bookmarkStart w:id="52" w:name="_Toc34404821"/>
      <w:r>
        <w:rPr>
          <w:b w:val="0"/>
          <w:color w:val="000000"/>
        </w:rPr>
        <w:t xml:space="preserve">2.5. </w:t>
      </w:r>
      <w:r>
        <w:rPr>
          <w:b w:val="0"/>
          <w:color w:val="000000"/>
        </w:rPr>
        <w:t xml:space="preserve">Перечень и сведения об образуемых земельных участках, отнесенных к территориям общего пользования</w:t>
      </w:r>
      <w:bookmarkEnd w:id="42"/>
      <w:r/>
      <w:bookmarkEnd w:id="43"/>
      <w:r/>
      <w:bookmarkEnd w:id="44"/>
      <w:r/>
      <w:bookmarkEnd w:id="45"/>
      <w:r/>
      <w:bookmarkEnd w:id="46"/>
      <w:r/>
      <w:bookmarkEnd w:id="47"/>
      <w:r/>
      <w:bookmarkEnd w:id="48"/>
      <w:r/>
      <w:bookmarkEnd w:id="49"/>
      <w:r/>
      <w:bookmarkEnd w:id="50"/>
      <w:r/>
      <w:bookmarkEnd w:id="51"/>
      <w:r/>
      <w:bookmarkEnd w:id="52"/>
      <w:r/>
      <w:r>
        <w:rPr>
          <w:b w:val="0"/>
          <w:color w:val="000000"/>
        </w:rPr>
      </w:r>
    </w:p>
    <w:p>
      <w:r/>
      <w:r/>
    </w:p>
    <w:p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Обра</w:t>
      </w:r>
      <w:r>
        <w:rPr>
          <w:color w:val="000000"/>
        </w:rPr>
        <w:t xml:space="preserve">зование земельных участков, отнесенных к территориям общего пользования или имуществу общего пользования, в том числе в отношении которых предполагаются резервирование или изъятие для государственных или муниципальных нужд данным проектом не предусмотрено.</w:t>
      </w:r>
      <w:r>
        <w:rPr>
          <w:color w:val="000000"/>
        </w:rPr>
      </w:r>
    </w:p>
    <w:p>
      <w:pPr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889"/>
        <w:numPr>
          <w:ilvl w:val="0"/>
          <w:numId w:val="0"/>
        </w:numPr>
        <w:contextualSpacing/>
        <w:ind w:firstLine="709"/>
        <w:jc w:val="center"/>
        <w:tabs>
          <w:tab w:val="left" w:pos="993" w:leader="none"/>
        </w:tabs>
        <w:rPr>
          <w:b w:val="0"/>
          <w:color w:val="000000"/>
        </w:rPr>
      </w:pPr>
      <w:r/>
      <w:bookmarkStart w:id="53" w:name="_Toc9606374"/>
      <w:r/>
      <w:bookmarkStart w:id="54" w:name="_Toc11166088"/>
      <w:r/>
      <w:bookmarkStart w:id="55" w:name="_Toc11764066"/>
      <w:r/>
      <w:bookmarkStart w:id="56" w:name="_Toc20237876"/>
      <w:r/>
      <w:bookmarkStart w:id="57" w:name="_Toc23331365"/>
      <w:r/>
      <w:bookmarkStart w:id="58" w:name="_Toc29881969"/>
      <w:r/>
      <w:bookmarkStart w:id="59" w:name="_Toc30150635"/>
      <w:r/>
      <w:bookmarkStart w:id="60" w:name="_Toc31180902"/>
      <w:r/>
      <w:bookmarkStart w:id="61" w:name="_Toc68650300"/>
      <w:r>
        <w:rPr>
          <w:b w:val="0"/>
          <w:color w:val="000000"/>
        </w:rPr>
        <w:t xml:space="preserve">2.6. </w:t>
      </w:r>
      <w:r>
        <w:rPr>
          <w:b w:val="0"/>
          <w:color w:val="000000"/>
        </w:rPr>
        <w:t xml:space="preserve">Краткое обоснование заявленных целей, местоположение, использование участка лесного фонда</w:t>
      </w:r>
      <w:bookmarkEnd w:id="53"/>
      <w:r/>
      <w:bookmarkEnd w:id="54"/>
      <w:r/>
      <w:bookmarkEnd w:id="55"/>
      <w:r/>
      <w:bookmarkEnd w:id="56"/>
      <w:r/>
      <w:bookmarkEnd w:id="57"/>
      <w:r/>
      <w:bookmarkEnd w:id="58"/>
      <w:r/>
      <w:bookmarkEnd w:id="59"/>
      <w:r/>
      <w:bookmarkEnd w:id="60"/>
      <w:r/>
      <w:bookmarkEnd w:id="61"/>
      <w:r/>
      <w:r>
        <w:rPr>
          <w:b w:val="0"/>
          <w:color w:val="000000"/>
        </w:rPr>
      </w:r>
    </w:p>
    <w:p>
      <w:pPr>
        <w:contextualSpacing/>
        <w:jc w:val="center"/>
      </w:pPr>
      <w:r/>
      <w:r/>
    </w:p>
    <w:p>
      <w:pPr>
        <w:contextualSpacing/>
        <w:jc w:val="right"/>
      </w:pPr>
      <w:r>
        <w:t xml:space="preserve">Таблица </w:t>
      </w:r>
      <w:r>
        <w:t xml:space="preserve">11</w:t>
      </w:r>
      <w:r>
        <w:t xml:space="preserve"> </w:t>
      </w:r>
      <w:r/>
    </w:p>
    <w:p>
      <w:pPr>
        <w:contextualSpacing/>
        <w:jc w:val="right"/>
      </w:pPr>
      <w:r/>
      <w:r/>
    </w:p>
    <w:p>
      <w:pPr>
        <w:contextualSpacing/>
        <w:jc w:val="center"/>
      </w:pPr>
      <w:r>
        <w:t xml:space="preserve">Характеристика насаждений проектируемых лесных участков</w:t>
      </w:r>
      <w:r/>
    </w:p>
    <w:p>
      <w:pPr>
        <w:contextualSpacing/>
      </w:pPr>
      <w:r/>
      <w:r/>
    </w:p>
    <w:tbl>
      <w:tblPr>
        <w:tblW w:w="4913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760"/>
        <w:gridCol w:w="554"/>
        <w:gridCol w:w="554"/>
        <w:gridCol w:w="1818"/>
        <w:gridCol w:w="1528"/>
        <w:gridCol w:w="1114"/>
        <w:gridCol w:w="1249"/>
        <w:gridCol w:w="587"/>
        <w:gridCol w:w="519"/>
      </w:tblGrid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Участковое лесничество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86" w:type="pct"/>
            <w:vMerge w:val="restart"/>
            <w:textDirection w:val="btLr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Номер квартала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86" w:type="pct"/>
            <w:vMerge w:val="restart"/>
            <w:textDirection w:val="btLr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Номер выдела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939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Состав насаждения или характеристика лесного участка при </w:t>
            </w:r>
            <w:r>
              <w:rPr>
                <w:color w:val="000000"/>
                <w:sz w:val="16"/>
                <w:szCs w:val="16"/>
              </w:rPr>
              <w:t xml:space="preserve">отсутствии</w:t>
            </w:r>
            <w:r>
              <w:rPr>
                <w:color w:val="000000"/>
                <w:sz w:val="16"/>
                <w:szCs w:val="16"/>
              </w:rPr>
              <w:t xml:space="preserve"> насаждения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Площадь (</w:t>
            </w:r>
            <w:r>
              <w:rPr>
                <w:color w:val="000000"/>
                <w:sz w:val="16"/>
                <w:szCs w:val="16"/>
              </w:rPr>
              <w:t xml:space="preserve">га</w:t>
            </w:r>
            <w:r>
              <w:rPr>
                <w:color w:val="000000"/>
                <w:sz w:val="16"/>
                <w:szCs w:val="16"/>
              </w:rPr>
              <w:t xml:space="preserve">)/запас древесины при наличии (куб. м)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gridSpan w:val="4"/>
            <w:shd w:val="clear" w:color="auto" w:fill="auto"/>
            <w:tcW w:w="1791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 том числе по группам возраста древостоя (</w:t>
            </w:r>
            <w:r>
              <w:rPr>
                <w:color w:val="000000"/>
                <w:sz w:val="16"/>
                <w:szCs w:val="16"/>
              </w:rPr>
              <w:t xml:space="preserve">га</w:t>
            </w:r>
            <w:r>
              <w:rPr>
                <w:color w:val="000000"/>
                <w:sz w:val="16"/>
                <w:szCs w:val="16"/>
              </w:rPr>
              <w:t xml:space="preserve">/куб. м)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1879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86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86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93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vAlign w:val="center"/>
            <w:textDirection w:val="btLr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</w:t>
            </w:r>
            <w:r>
              <w:rPr>
                <w:color w:val="000000"/>
                <w:sz w:val="16"/>
                <w:szCs w:val="16"/>
              </w:rPr>
              <w:t xml:space="preserve">олодняки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vAlign w:val="center"/>
            <w:textDirection w:val="btLr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</w:t>
            </w:r>
            <w:r>
              <w:rPr>
                <w:color w:val="000000"/>
                <w:sz w:val="16"/>
                <w:szCs w:val="16"/>
              </w:rPr>
              <w:t xml:space="preserve">редневозрастные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vAlign w:val="center"/>
            <w:textDirection w:val="btLr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</w:t>
            </w:r>
            <w:r>
              <w:rPr>
                <w:color w:val="000000"/>
                <w:sz w:val="16"/>
                <w:szCs w:val="16"/>
              </w:rPr>
              <w:t xml:space="preserve">риспевающие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vAlign w:val="center"/>
            <w:textDirection w:val="btLr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</w:t>
            </w:r>
            <w:r>
              <w:rPr>
                <w:color w:val="000000"/>
                <w:sz w:val="16"/>
                <w:szCs w:val="16"/>
              </w:rPr>
              <w:t xml:space="preserve">пелые и перестойные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 xml:space="preserve">Ку</w:t>
            </w:r>
            <w:r>
              <w:rPr>
                <w:color w:val="000000"/>
                <w:sz w:val="16"/>
                <w:szCs w:val="16"/>
              </w:rPr>
              <w:t xml:space="preserve">ст скв</w:t>
            </w:r>
            <w:r>
              <w:rPr>
                <w:color w:val="000000"/>
                <w:sz w:val="16"/>
                <w:szCs w:val="16"/>
              </w:rPr>
              <w:t xml:space="preserve">ажин № 40</w:t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 xml:space="preserve">86:01:0000000:10648:ЗУ1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134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3,7566</w:t>
            </w:r>
            <w:r>
              <w:rPr>
                <w:sz w:val="16"/>
                <w:szCs w:val="16"/>
                <w:lang w:bidi="en-US"/>
              </w:rPr>
              <w:t xml:space="preserve">/376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3,7566</w:t>
            </w:r>
            <w:r>
              <w:rPr>
                <w:sz w:val="16"/>
                <w:szCs w:val="16"/>
                <w:lang w:bidi="en-US"/>
              </w:rPr>
              <w:t xml:space="preserve">/376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3,7566</w:t>
            </w:r>
            <w:r>
              <w:rPr>
                <w:sz w:val="16"/>
                <w:szCs w:val="16"/>
                <w:lang w:bidi="en-US"/>
              </w:rPr>
              <w:t xml:space="preserve">/376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3,7566</w:t>
            </w:r>
            <w:r>
              <w:rPr>
                <w:sz w:val="16"/>
                <w:szCs w:val="16"/>
                <w:lang w:bidi="en-US"/>
              </w:rPr>
              <w:t xml:space="preserve">/376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134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4,0321</w:t>
            </w:r>
            <w:r>
              <w:rPr>
                <w:sz w:val="16"/>
                <w:szCs w:val="16"/>
                <w:lang w:bidi="en-US"/>
              </w:rPr>
              <w:t xml:space="preserve">/403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4,0321</w:t>
            </w:r>
            <w:r>
              <w:rPr>
                <w:sz w:val="16"/>
                <w:szCs w:val="16"/>
                <w:lang w:bidi="en-US"/>
              </w:rPr>
              <w:t xml:space="preserve">/403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4,0321</w:t>
            </w:r>
            <w:r>
              <w:rPr>
                <w:sz w:val="16"/>
                <w:szCs w:val="16"/>
                <w:lang w:bidi="en-US"/>
              </w:rPr>
              <w:t xml:space="preserve">/403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4,0321</w:t>
            </w:r>
            <w:r>
              <w:rPr>
                <w:sz w:val="16"/>
                <w:szCs w:val="16"/>
                <w:lang w:bidi="en-US"/>
              </w:rPr>
              <w:t xml:space="preserve">/403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Автомобильная дорога на ку</w:t>
            </w:r>
            <w:r>
              <w:rPr>
                <w:color w:val="000000"/>
                <w:sz w:val="16"/>
                <w:szCs w:val="16"/>
              </w:rPr>
              <w:t xml:space="preserve">ст скв</w:t>
            </w:r>
            <w:r>
              <w:rPr>
                <w:color w:val="000000"/>
                <w:sz w:val="16"/>
                <w:szCs w:val="16"/>
              </w:rPr>
              <w:t xml:space="preserve">ажин № 40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0,3126</w:t>
            </w:r>
            <w:r>
              <w:rPr>
                <w:sz w:val="16"/>
                <w:szCs w:val="16"/>
                <w:lang w:bidi="en-US"/>
              </w:rPr>
              <w:t xml:space="preserve">/22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0,3126</w:t>
            </w:r>
            <w:r>
              <w:rPr>
                <w:sz w:val="16"/>
                <w:szCs w:val="16"/>
                <w:lang w:bidi="en-US"/>
              </w:rPr>
              <w:t xml:space="preserve">/22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0,3795</w:t>
            </w:r>
            <w:r>
              <w:rPr>
                <w:sz w:val="16"/>
                <w:szCs w:val="16"/>
                <w:lang w:bidi="en-US"/>
              </w:rPr>
              <w:t xml:space="preserve">/42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0,3795</w:t>
            </w:r>
            <w:r>
              <w:rPr>
                <w:sz w:val="16"/>
                <w:szCs w:val="16"/>
                <w:lang w:bidi="en-US"/>
              </w:rPr>
              <w:t xml:space="preserve">/42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24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0,0097</w:t>
            </w:r>
            <w:r>
              <w:rPr>
                <w:sz w:val="16"/>
                <w:szCs w:val="16"/>
                <w:lang w:bidi="en-US"/>
              </w:rPr>
              <w:t xml:space="preserve">/-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gridSpan w:val="4"/>
            <w:shd w:val="clear" w:color="auto" w:fill="auto"/>
            <w:tcW w:w="1791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Профиль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0,7018/64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0,3126</w:t>
            </w:r>
            <w:r>
              <w:rPr>
                <w:sz w:val="16"/>
                <w:szCs w:val="16"/>
                <w:lang w:bidi="en-US"/>
              </w:rPr>
              <w:t xml:space="preserve">/22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0,3795</w:t>
            </w:r>
            <w:r>
              <w:rPr>
                <w:sz w:val="16"/>
                <w:szCs w:val="16"/>
                <w:lang w:bidi="en-US"/>
              </w:rPr>
              <w:t xml:space="preserve">/42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0,1209</w:t>
            </w:r>
            <w:r>
              <w:rPr>
                <w:sz w:val="16"/>
                <w:szCs w:val="16"/>
                <w:lang w:bidi="en-US"/>
              </w:rPr>
              <w:t xml:space="preserve">/8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0,1209</w:t>
            </w:r>
            <w:r>
              <w:rPr>
                <w:sz w:val="16"/>
                <w:szCs w:val="16"/>
                <w:lang w:bidi="en-US"/>
              </w:rPr>
              <w:t xml:space="preserve">/8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0,1209</w:t>
            </w:r>
            <w:r>
              <w:rPr>
                <w:sz w:val="16"/>
                <w:szCs w:val="16"/>
                <w:lang w:bidi="en-US"/>
              </w:rPr>
              <w:t xml:space="preserve">/8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0,1209</w:t>
            </w:r>
            <w:r>
              <w:rPr>
                <w:sz w:val="16"/>
                <w:szCs w:val="16"/>
                <w:lang w:bidi="en-US"/>
              </w:rPr>
              <w:t xml:space="preserve">/8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0,0528/9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0,0528/9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0,0647/3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0,0647/3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134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1,1344/113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1,1344/113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  <w:t xml:space="preserve">,</w:t>
            </w:r>
            <w:r>
              <w:rPr>
                <w:color w:val="000000"/>
                <w:sz w:val="16"/>
                <w:szCs w:val="16"/>
                <w:lang w:val="en-US"/>
              </w:rPr>
              <w:t xml:space="preserve">2519/125</w:t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0,0647/3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  <w:t xml:space="preserve">,</w:t>
            </w:r>
            <w:r>
              <w:rPr>
                <w:color w:val="000000"/>
                <w:sz w:val="16"/>
                <w:szCs w:val="16"/>
                <w:lang w:val="en-US"/>
              </w:rPr>
              <w:t xml:space="preserve">1872/122</w:t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86:01:0000000:10622:ЗУ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0,0002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0,0002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0,0002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0,0002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121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0,2511</w:t>
            </w:r>
            <w:r>
              <w:rPr>
                <w:sz w:val="16"/>
                <w:szCs w:val="16"/>
                <w:lang w:bidi="en-US"/>
              </w:rPr>
              <w:t xml:space="preserve">/13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0,2511</w:t>
            </w:r>
            <w:r>
              <w:rPr>
                <w:sz w:val="16"/>
                <w:szCs w:val="16"/>
                <w:lang w:bidi="en-US"/>
              </w:rPr>
              <w:t xml:space="preserve">/13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0,6144</w:t>
            </w:r>
            <w:r>
              <w:rPr>
                <w:sz w:val="16"/>
                <w:szCs w:val="16"/>
                <w:lang w:bidi="en-US"/>
              </w:rPr>
              <w:t xml:space="preserve">/104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0,6144</w:t>
            </w:r>
            <w:r>
              <w:rPr>
                <w:sz w:val="16"/>
                <w:szCs w:val="16"/>
                <w:lang w:bidi="en-US"/>
              </w:rPr>
              <w:t xml:space="preserve">/104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1,0327</w:t>
            </w:r>
            <w:r>
              <w:rPr>
                <w:sz w:val="16"/>
                <w:szCs w:val="16"/>
                <w:lang w:bidi="en-US"/>
              </w:rPr>
              <w:t xml:space="preserve">/52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1,0327</w:t>
            </w:r>
            <w:r>
              <w:rPr>
                <w:sz w:val="16"/>
                <w:szCs w:val="16"/>
                <w:lang w:bidi="en-US"/>
              </w:rPr>
              <w:t xml:space="preserve">/52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1,8982/169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1,2838/65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0,6144</w:t>
            </w:r>
            <w:r>
              <w:rPr>
                <w:sz w:val="16"/>
                <w:szCs w:val="16"/>
                <w:lang w:bidi="en-US"/>
              </w:rPr>
              <w:t xml:space="preserve">/104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spacing w:line="276" w:lineRule="auto"/>
              <w:rPr>
                <w:rFonts w:eastAsia="Calibri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val="en-US"/>
              </w:rPr>
            </w:r>
            <w:r>
              <w:rPr>
                <w:rFonts w:eastAsia="Calibri"/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ВЛ</w:t>
            </w:r>
            <w:r>
              <w:rPr>
                <w:color w:val="000000"/>
                <w:sz w:val="16"/>
                <w:szCs w:val="16"/>
              </w:rPr>
              <w:t xml:space="preserve"> 10 </w:t>
            </w:r>
            <w:r>
              <w:rPr>
                <w:color w:val="000000"/>
                <w:sz w:val="16"/>
                <w:szCs w:val="16"/>
              </w:rPr>
              <w:t xml:space="preserve">кВ</w:t>
            </w:r>
            <w:r>
              <w:rPr>
                <w:color w:val="000000"/>
                <w:sz w:val="16"/>
                <w:szCs w:val="16"/>
              </w:rPr>
              <w:t xml:space="preserve"> до кустовой площадки № 40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0,3658</w:t>
            </w:r>
            <w:r>
              <w:rPr>
                <w:sz w:val="16"/>
                <w:szCs w:val="16"/>
                <w:lang w:bidi="en-US"/>
              </w:rPr>
              <w:t xml:space="preserve">/26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0,3658</w:t>
            </w:r>
            <w:r>
              <w:rPr>
                <w:sz w:val="16"/>
                <w:szCs w:val="16"/>
                <w:lang w:bidi="en-US"/>
              </w:rPr>
              <w:t xml:space="preserve">/26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0,7064</w:t>
            </w:r>
            <w:r>
              <w:rPr>
                <w:sz w:val="16"/>
                <w:szCs w:val="16"/>
                <w:lang w:bidi="en-US"/>
              </w:rPr>
              <w:t xml:space="preserve">/78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0,7064</w:t>
            </w:r>
            <w:r>
              <w:rPr>
                <w:sz w:val="16"/>
                <w:szCs w:val="16"/>
                <w:lang w:bidi="en-US"/>
              </w:rPr>
              <w:t xml:space="preserve">/78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24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0,0125</w:t>
            </w:r>
            <w:r>
              <w:rPr>
                <w:sz w:val="16"/>
                <w:szCs w:val="16"/>
                <w:lang w:bidi="en-US"/>
              </w:rPr>
              <w:t xml:space="preserve">/-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gridSpan w:val="4"/>
            <w:shd w:val="clear" w:color="auto" w:fill="auto"/>
            <w:tcW w:w="1791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Профиль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1,0847/104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0,3658</w:t>
            </w:r>
            <w:r>
              <w:rPr>
                <w:sz w:val="16"/>
                <w:szCs w:val="16"/>
                <w:lang w:bidi="en-US"/>
              </w:rPr>
              <w:t xml:space="preserve">/26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0,7064</w:t>
            </w:r>
            <w:r>
              <w:rPr>
                <w:sz w:val="16"/>
                <w:szCs w:val="16"/>
                <w:lang w:bidi="en-US"/>
              </w:rPr>
              <w:t xml:space="preserve">/78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0,2092</w:t>
            </w:r>
            <w:r>
              <w:rPr>
                <w:sz w:val="16"/>
                <w:szCs w:val="16"/>
                <w:lang w:bidi="en-US"/>
              </w:rPr>
              <w:t xml:space="preserve">/15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0,2092</w:t>
            </w:r>
            <w:r>
              <w:rPr>
                <w:sz w:val="16"/>
                <w:szCs w:val="16"/>
                <w:lang w:bidi="en-US"/>
              </w:rPr>
              <w:t xml:space="preserve">/15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0,2092</w:t>
            </w:r>
            <w:r>
              <w:rPr>
                <w:sz w:val="16"/>
                <w:szCs w:val="16"/>
                <w:lang w:bidi="en-US"/>
              </w:rPr>
              <w:t xml:space="preserve">/15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0,2092</w:t>
            </w:r>
            <w:r>
              <w:rPr>
                <w:sz w:val="16"/>
                <w:szCs w:val="16"/>
                <w:lang w:bidi="en-US"/>
              </w:rPr>
              <w:t xml:space="preserve">/15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86:01:0000000:10648:ЗУ5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0,2659</w:t>
            </w:r>
            <w:r>
              <w:rPr>
                <w:sz w:val="16"/>
                <w:szCs w:val="16"/>
                <w:lang w:bidi="en-US"/>
              </w:rPr>
              <w:t xml:space="preserve">/45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0,2659</w:t>
            </w:r>
            <w:r>
              <w:rPr>
                <w:sz w:val="16"/>
                <w:szCs w:val="16"/>
                <w:lang w:bidi="en-US"/>
              </w:rPr>
              <w:t xml:space="preserve">/45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0,0541</w:t>
            </w:r>
            <w:r>
              <w:rPr>
                <w:sz w:val="16"/>
                <w:szCs w:val="16"/>
                <w:lang w:bidi="en-US"/>
              </w:rPr>
              <w:t xml:space="preserve">/3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0,0541</w:t>
            </w:r>
            <w:r>
              <w:rPr>
                <w:sz w:val="16"/>
                <w:szCs w:val="16"/>
                <w:lang w:bidi="en-US"/>
              </w:rPr>
              <w:t xml:space="preserve">/3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134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1,5365</w:t>
            </w:r>
            <w:r>
              <w:rPr>
                <w:sz w:val="16"/>
                <w:szCs w:val="16"/>
                <w:lang w:bidi="en-US"/>
              </w:rPr>
              <w:t xml:space="preserve">/154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1,5365</w:t>
            </w:r>
            <w:r>
              <w:rPr>
                <w:sz w:val="16"/>
                <w:szCs w:val="16"/>
                <w:lang w:bidi="en-US"/>
              </w:rPr>
              <w:t xml:space="preserve">/154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1,8565/202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0,0541</w:t>
            </w:r>
            <w:r>
              <w:rPr>
                <w:sz w:val="16"/>
                <w:szCs w:val="16"/>
                <w:lang w:bidi="en-US"/>
              </w:rPr>
              <w:t xml:space="preserve">/3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1,8024/199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86:01:0000000:10622:ЗУ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0,0002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0,0002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0,0002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0,0002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86:01:0603001:516:ЗУ</w:t>
            </w: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121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0,4059</w:t>
            </w:r>
            <w:r>
              <w:rPr>
                <w:sz w:val="16"/>
                <w:szCs w:val="16"/>
                <w:lang w:bidi="en-US"/>
              </w:rPr>
              <w:t xml:space="preserve">/20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0,4059</w:t>
            </w:r>
            <w:r>
              <w:rPr>
                <w:sz w:val="16"/>
                <w:szCs w:val="16"/>
                <w:lang w:bidi="en-US"/>
              </w:rPr>
              <w:t xml:space="preserve">/20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0,7224</w:t>
            </w:r>
            <w:r>
              <w:rPr>
                <w:sz w:val="16"/>
                <w:szCs w:val="16"/>
                <w:lang w:bidi="en-US"/>
              </w:rPr>
              <w:t xml:space="preserve">/123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0,7224</w:t>
            </w:r>
            <w:r>
              <w:rPr>
                <w:sz w:val="16"/>
                <w:szCs w:val="16"/>
                <w:lang w:bidi="en-US"/>
              </w:rPr>
              <w:t xml:space="preserve">/123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1,5565</w:t>
            </w:r>
            <w:r>
              <w:rPr>
                <w:sz w:val="16"/>
                <w:szCs w:val="16"/>
                <w:lang w:bidi="en-US"/>
              </w:rPr>
              <w:t xml:space="preserve">/78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1,5565</w:t>
            </w:r>
            <w:r>
              <w:rPr>
                <w:sz w:val="16"/>
                <w:szCs w:val="16"/>
                <w:lang w:bidi="en-US"/>
              </w:rPr>
              <w:t xml:space="preserve">/78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2,6848/221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1,9624/98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0,7224</w:t>
            </w:r>
            <w:r>
              <w:rPr>
                <w:sz w:val="16"/>
                <w:szCs w:val="16"/>
                <w:lang w:bidi="en-US"/>
              </w:rPr>
              <w:t xml:space="preserve">/123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Нефтегазосборный трубопровод от кустовой площадки № 40 до т.35а;</w:t>
            </w:r>
            <w:r>
              <w:rPr>
                <w:color w:val="000000"/>
                <w:sz w:val="16"/>
                <w:szCs w:val="16"/>
              </w:rPr>
            </w:r>
          </w:p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Высоконапорный водовод от  т.34 до кустовой площадки №40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86:01:0603001:515:ЗУ3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0,4555</w:t>
            </w:r>
            <w:r>
              <w:rPr>
                <w:sz w:val="16"/>
                <w:szCs w:val="16"/>
                <w:lang w:bidi="en-US"/>
              </w:rPr>
              <w:t xml:space="preserve">/32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0,4555</w:t>
            </w:r>
            <w:r>
              <w:rPr>
                <w:sz w:val="16"/>
                <w:szCs w:val="16"/>
                <w:lang w:bidi="en-US"/>
              </w:rPr>
              <w:t xml:space="preserve">/32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0,0556</w:t>
            </w:r>
            <w:r>
              <w:rPr>
                <w:sz w:val="16"/>
                <w:szCs w:val="16"/>
                <w:lang w:bidi="en-US"/>
              </w:rPr>
              <w:t xml:space="preserve">/8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0,0556</w:t>
            </w:r>
            <w:r>
              <w:rPr>
                <w:sz w:val="16"/>
                <w:szCs w:val="16"/>
                <w:lang w:bidi="en-US"/>
              </w:rPr>
              <w:t xml:space="preserve">/8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0,2923</w:t>
            </w:r>
            <w:r>
              <w:rPr>
                <w:sz w:val="16"/>
                <w:szCs w:val="16"/>
                <w:lang w:bidi="en-US"/>
              </w:rPr>
              <w:t xml:space="preserve">/32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0,2923</w:t>
            </w:r>
            <w:r>
              <w:rPr>
                <w:sz w:val="16"/>
                <w:szCs w:val="16"/>
                <w:lang w:bidi="en-US"/>
              </w:rPr>
              <w:t xml:space="preserve">/32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24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0,0117</w:t>
            </w:r>
            <w:r>
              <w:rPr>
                <w:sz w:val="16"/>
                <w:szCs w:val="16"/>
                <w:lang w:bidi="en-US"/>
              </w:rPr>
              <w:t xml:space="preserve">/-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W w:w="1216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Профиль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0,8451/72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0,4555</w:t>
            </w:r>
            <w:r>
              <w:rPr>
                <w:sz w:val="16"/>
                <w:szCs w:val="16"/>
                <w:lang w:bidi="en-US"/>
              </w:rPr>
              <w:t xml:space="preserve">/32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0,3479/40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86:01:0603001:526:ЗУ3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0,0380</w:t>
            </w:r>
            <w:r>
              <w:rPr>
                <w:sz w:val="16"/>
                <w:szCs w:val="16"/>
                <w:lang w:bidi="en-US"/>
              </w:rPr>
              <w:t xml:space="preserve">/3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0,0380</w:t>
            </w:r>
            <w:r>
              <w:rPr>
                <w:sz w:val="16"/>
                <w:szCs w:val="16"/>
                <w:lang w:bidi="en-US"/>
              </w:rPr>
              <w:t xml:space="preserve">/3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0,1083</w:t>
            </w:r>
            <w:r>
              <w:rPr>
                <w:sz w:val="16"/>
                <w:szCs w:val="16"/>
                <w:lang w:bidi="en-US"/>
              </w:rPr>
              <w:t xml:space="preserve">/16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0,1083</w:t>
            </w:r>
            <w:r>
              <w:rPr>
                <w:sz w:val="16"/>
                <w:szCs w:val="16"/>
                <w:lang w:bidi="en-US"/>
              </w:rPr>
              <w:t xml:space="preserve">/16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spacing w:before="120" w:after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0,1463/19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0,0380</w:t>
            </w:r>
            <w:r>
              <w:rPr>
                <w:sz w:val="16"/>
                <w:szCs w:val="16"/>
                <w:lang w:bidi="en-US"/>
              </w:rPr>
              <w:t xml:space="preserve">/3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0,1083</w:t>
            </w:r>
            <w:r>
              <w:rPr>
                <w:sz w:val="16"/>
                <w:szCs w:val="16"/>
                <w:lang w:bidi="en-US"/>
              </w:rPr>
              <w:t xml:space="preserve">/16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86:01:0603001:2503:ЗУ</w:t>
            </w: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0,0101</w:t>
            </w:r>
            <w:r>
              <w:rPr>
                <w:sz w:val="16"/>
                <w:szCs w:val="16"/>
                <w:lang w:bidi="en-US"/>
              </w:rPr>
              <w:t xml:space="preserve">/1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0,0101</w:t>
            </w:r>
            <w:r>
              <w:rPr>
                <w:sz w:val="16"/>
                <w:szCs w:val="16"/>
                <w:lang w:bidi="en-US"/>
              </w:rPr>
              <w:t xml:space="preserve">/1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134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0,9</w:t>
            </w:r>
            <w:r>
              <w:rPr>
                <w:sz w:val="16"/>
                <w:szCs w:val="16"/>
                <w:lang w:bidi="en-US"/>
              </w:rPr>
              <w:t xml:space="preserve">540/95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0,9</w:t>
            </w:r>
            <w:r>
              <w:rPr>
                <w:sz w:val="16"/>
                <w:szCs w:val="16"/>
                <w:lang w:bidi="en-US"/>
              </w:rPr>
              <w:t xml:space="preserve">540/95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0,9641/96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0,0101</w:t>
            </w:r>
            <w:r>
              <w:rPr>
                <w:sz w:val="16"/>
                <w:szCs w:val="16"/>
                <w:lang w:bidi="en-US"/>
              </w:rPr>
              <w:t xml:space="preserve">/1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0,9</w:t>
            </w:r>
            <w:r>
              <w:rPr>
                <w:sz w:val="16"/>
                <w:szCs w:val="16"/>
                <w:lang w:bidi="en-US"/>
              </w:rPr>
              <w:t xml:space="preserve">540/95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86:01:0000000:10622:ЗУ3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0,0001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0,0001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0,0001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0,0001</w:t>
            </w:r>
            <w:r>
              <w:rPr>
                <w:sz w:val="16"/>
                <w:szCs w:val="16"/>
                <w:lang w:bidi="en-US"/>
              </w:rPr>
              <w:t xml:space="preserve">/0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0,0002/0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0,0002/0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86:01:0603001:516:ЗУ3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121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0,3568</w:t>
            </w:r>
            <w:r>
              <w:rPr>
                <w:sz w:val="16"/>
                <w:szCs w:val="16"/>
                <w:lang w:bidi="en-US"/>
              </w:rPr>
              <w:t xml:space="preserve">/18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0,3568</w:t>
            </w:r>
            <w:r>
              <w:rPr>
                <w:sz w:val="16"/>
                <w:szCs w:val="16"/>
                <w:lang w:bidi="en-US"/>
              </w:rPr>
              <w:t xml:space="preserve">/18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0,8162</w:t>
            </w:r>
            <w:r>
              <w:rPr>
                <w:sz w:val="16"/>
                <w:szCs w:val="16"/>
                <w:lang w:bidi="en-US"/>
              </w:rPr>
              <w:t xml:space="preserve">/139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0,8162</w:t>
            </w:r>
            <w:r>
              <w:rPr>
                <w:sz w:val="16"/>
                <w:szCs w:val="16"/>
                <w:lang w:bidi="en-US"/>
              </w:rPr>
              <w:t xml:space="preserve">/139</w:t>
            </w:r>
            <w:r>
              <w:rPr>
                <w:color w:val="000000"/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bidi="en-US"/>
              </w:rPr>
            </w:pPr>
            <w:r>
              <w:rPr>
                <w:color w:val="000000"/>
                <w:sz w:val="16"/>
                <w:szCs w:val="16"/>
                <w:lang w:bidi="en-US"/>
              </w:rPr>
            </w:r>
            <w:r>
              <w:rPr>
                <w:color w:val="000000"/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1,4866</w:t>
            </w:r>
            <w:r>
              <w:rPr>
                <w:sz w:val="16"/>
                <w:szCs w:val="16"/>
                <w:lang w:bidi="en-US"/>
              </w:rPr>
              <w:t xml:space="preserve">/74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1,4866</w:t>
            </w:r>
            <w:r>
              <w:rPr>
                <w:sz w:val="16"/>
                <w:szCs w:val="16"/>
                <w:lang w:bidi="en-US"/>
              </w:rPr>
              <w:t xml:space="preserve">/74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bidi="en-US"/>
              </w:rPr>
            </w:pPr>
            <w:r>
              <w:rPr>
                <w:color w:val="000000"/>
                <w:sz w:val="16"/>
                <w:szCs w:val="16"/>
                <w:lang w:bidi="en-US"/>
              </w:rPr>
            </w:r>
            <w:r>
              <w:rPr>
                <w:color w:val="000000"/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bidi="en-US"/>
              </w:rPr>
            </w:pPr>
            <w:r>
              <w:rPr>
                <w:color w:val="000000"/>
                <w:sz w:val="16"/>
                <w:szCs w:val="16"/>
                <w:lang w:bidi="en-US"/>
              </w:rPr>
            </w:r>
            <w:r>
              <w:rPr>
                <w:color w:val="000000"/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 xml:space="preserve">2,659</w:t>
            </w:r>
            <w:r>
              <w:rPr>
                <w:color w:val="000000"/>
                <w:sz w:val="16"/>
                <w:szCs w:val="16"/>
                <w:lang w:val="en-US"/>
              </w:rPr>
              <w:t xml:space="preserve">6</w:t>
            </w:r>
            <w:r>
              <w:rPr>
                <w:color w:val="000000"/>
                <w:sz w:val="16"/>
                <w:szCs w:val="16"/>
              </w:rPr>
              <w:t xml:space="preserve">/231</w:t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  <w:t xml:space="preserve">,</w:t>
            </w:r>
            <w:r>
              <w:rPr>
                <w:color w:val="000000"/>
                <w:sz w:val="16"/>
                <w:szCs w:val="16"/>
                <w:lang w:val="en-US"/>
              </w:rPr>
              <w:t xml:space="preserve">8434/91</w:t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0,8162</w:t>
            </w:r>
            <w:r>
              <w:rPr>
                <w:sz w:val="16"/>
                <w:szCs w:val="16"/>
                <w:lang w:bidi="en-US"/>
              </w:rPr>
              <w:t xml:space="preserve">/139</w:t>
            </w:r>
            <w:r>
              <w:rPr>
                <w:color w:val="000000"/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Временный </w:t>
            </w:r>
            <w:r>
              <w:rPr>
                <w:color w:val="000000"/>
                <w:sz w:val="16"/>
                <w:szCs w:val="16"/>
              </w:rPr>
              <w:t xml:space="preserve">вдольтрассовый</w:t>
            </w:r>
            <w:r>
              <w:rPr>
                <w:color w:val="000000"/>
                <w:sz w:val="16"/>
                <w:szCs w:val="16"/>
              </w:rPr>
              <w:t xml:space="preserve"> проезд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86:01:0603001:526:ЗУ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bidi="en-US"/>
              </w:rPr>
              <w:t xml:space="preserve">0,0304/2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bidi="en-US"/>
              </w:rPr>
              <w:t xml:space="preserve">0,0304/2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bidi="en-US"/>
              </w:rPr>
              <w:t xml:space="preserve">0,0304/2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bidi="en-US"/>
              </w:rPr>
              <w:t xml:space="preserve">0,0304/2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86:01:0603001:515:ЗУ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0,084</w:t>
            </w:r>
            <w:r>
              <w:rPr>
                <w:sz w:val="16"/>
                <w:szCs w:val="16"/>
                <w:lang w:bidi="en-US"/>
              </w:rPr>
              <w:t xml:space="preserve">3/6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0,084</w:t>
            </w:r>
            <w:r>
              <w:rPr>
                <w:sz w:val="16"/>
                <w:szCs w:val="16"/>
                <w:lang w:bidi="en-US"/>
              </w:rPr>
              <w:t xml:space="preserve">3/6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0,106</w:t>
            </w:r>
            <w:r>
              <w:rPr>
                <w:sz w:val="16"/>
                <w:szCs w:val="16"/>
                <w:lang w:bidi="en-US"/>
              </w:rPr>
              <w:t xml:space="preserve">3/12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0,106</w:t>
            </w:r>
            <w:r>
              <w:rPr>
                <w:sz w:val="16"/>
                <w:szCs w:val="16"/>
                <w:lang w:bidi="en-US"/>
              </w:rPr>
              <w:t xml:space="preserve">3/12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24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0,0027</w:t>
            </w:r>
            <w:r>
              <w:rPr>
                <w:sz w:val="16"/>
                <w:szCs w:val="16"/>
                <w:lang w:bidi="en-US"/>
              </w:rPr>
              <w:t xml:space="preserve">/-</w:t>
            </w:r>
            <w:r>
              <w:rPr>
                <w:sz w:val="16"/>
                <w:szCs w:val="16"/>
                <w:lang w:bidi="en-US"/>
              </w:rPr>
            </w:r>
          </w:p>
        </w:tc>
        <w:tc>
          <w:tcPr>
            <w:gridSpan w:val="4"/>
            <w:shd w:val="clear" w:color="auto" w:fill="auto"/>
            <w:tcW w:w="1791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0,1933/18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0,084</w:t>
            </w:r>
            <w:r>
              <w:rPr>
                <w:sz w:val="16"/>
                <w:szCs w:val="16"/>
                <w:lang w:bidi="en-US"/>
              </w:rPr>
              <w:t xml:space="preserve">3/6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0,106</w:t>
            </w:r>
            <w:r>
              <w:rPr>
                <w:sz w:val="16"/>
                <w:szCs w:val="16"/>
                <w:lang w:bidi="en-US"/>
              </w:rPr>
              <w:t xml:space="preserve">3/12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86:01:0603001:2504:ЗУ</w:t>
            </w:r>
            <w:r>
              <w:rPr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0,0325/2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0,0325/2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</w:r>
            <w:r>
              <w:rPr>
                <w:color w:val="ff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134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0,4132/41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0,4132/41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0.4457/43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0,0325/2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0,4132/41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86:01:0603001:516:ЗУ</w:t>
            </w: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restar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121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0,1237/6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0,1237/6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0,4468/76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0,4468/76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0,5777/29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0,5777/29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Итого: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 xml:space="preserve">1.1482/111</w:t>
            </w:r>
            <w:r>
              <w:rPr>
                <w:color w:val="000000"/>
                <w:sz w:val="16"/>
                <w:szCs w:val="16"/>
                <w:lang w:val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0,4468/76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Ку</w:t>
            </w:r>
            <w:r>
              <w:rPr>
                <w:color w:val="000000"/>
                <w:sz w:val="16"/>
                <w:szCs w:val="16"/>
              </w:rPr>
              <w:t xml:space="preserve">ст скв</w:t>
            </w:r>
            <w:r>
              <w:rPr>
                <w:color w:val="000000"/>
                <w:sz w:val="16"/>
                <w:szCs w:val="16"/>
              </w:rPr>
              <w:t xml:space="preserve">ажин № 40 Противопожарная вырубка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9"/>
            <w:shd w:val="clear" w:color="auto" w:fill="auto"/>
            <w:tcW w:w="5000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86:01:0000000:10648:ЗУ3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909" w:type="pct"/>
            <w:textDirection w:val="lrTb"/>
            <w:noWrap w:val="false"/>
          </w:tcPr>
          <w:p>
            <w:pPr>
              <w:contextualSpacing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Пойменное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86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134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3,9979/400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3,9979/400</w:t>
            </w:r>
            <w:r>
              <w:rPr>
                <w:color w:val="000000"/>
                <w:sz w:val="16"/>
                <w:szCs w:val="16"/>
                <w:lang w:bidi="en-US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3,9979/400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3,9979/400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Всего по проекту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27,9979/2680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7,5697/412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20,3916/2267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Всего по </w:t>
            </w:r>
            <w:r>
              <w:rPr>
                <w:sz w:val="16"/>
                <w:szCs w:val="16"/>
                <w:lang w:bidi="en-US"/>
              </w:rPr>
              <w:t xml:space="preserve">Болчаровское</w:t>
            </w:r>
            <w:r>
              <w:rPr>
                <w:sz w:val="16"/>
                <w:szCs w:val="16"/>
                <w:lang w:bidi="en-US"/>
              </w:rPr>
              <w:t xml:space="preserve">/ </w:t>
            </w:r>
            <w:r>
              <w:rPr>
                <w:sz w:val="16"/>
                <w:szCs w:val="16"/>
                <w:lang w:bidi="en-US"/>
              </w:rPr>
              <w:t xml:space="preserve">Пойменное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24,6956/2378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5,9524/299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18,7432/2079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8"/>
        </w:trPr>
        <w:tc>
          <w:tcPr>
            <w:gridSpan w:val="4"/>
            <w:shd w:val="clear" w:color="auto" w:fill="auto"/>
            <w:tcW w:w="2420" w:type="pct"/>
            <w:textDirection w:val="lrTb"/>
            <w:noWrap w:val="false"/>
          </w:tcPr>
          <w:p>
            <w:pPr>
              <w:contextualSpacing/>
              <w:ind w:right="-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Всего по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89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3,3023/302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7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1,6173/114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45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1,6484/188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03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68" w:type="pct"/>
            <w:textDirection w:val="lrTb"/>
            <w:noWrap w:val="false"/>
          </w:tcPr>
          <w:p>
            <w:pPr>
              <w:contextualSpacing/>
              <w:ind w:left="-142" w:right="-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</w:tbl>
    <w:p>
      <w:r/>
      <w:r/>
    </w:p>
    <w:p>
      <w:pPr>
        <w:jc w:val="right"/>
        <w:spacing w:after="200" w:line="276" w:lineRule="auto"/>
      </w:pPr>
      <w:r>
        <w:t xml:space="preserve">Таблица </w:t>
      </w:r>
      <w:r>
        <w:t xml:space="preserve">12</w:t>
      </w:r>
      <w:r/>
    </w:p>
    <w:p>
      <w:pPr>
        <w:jc w:val="center"/>
        <w:spacing w:after="200" w:line="276" w:lineRule="auto"/>
      </w:pPr>
      <w:r>
        <w:t xml:space="preserve">Средние таксационные показатели насаждений проектируемого лесного участка</w:t>
      </w:r>
      <w:r/>
    </w:p>
    <w:p>
      <w:pPr>
        <w:jc w:val="center"/>
      </w:pPr>
      <w:r>
        <w:t xml:space="preserve">Кондинское лесничество</w:t>
      </w:r>
      <w:r/>
    </w:p>
    <w:p>
      <w:r/>
      <w:r/>
    </w:p>
    <w:tbl>
      <w:tblPr>
        <w:tblW w:w="4946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456"/>
        <w:gridCol w:w="597"/>
        <w:gridCol w:w="595"/>
        <w:gridCol w:w="597"/>
        <w:gridCol w:w="452"/>
        <w:gridCol w:w="416"/>
        <w:gridCol w:w="1003"/>
        <w:gridCol w:w="1461"/>
        <w:gridCol w:w="1245"/>
        <w:gridCol w:w="1069"/>
      </w:tblGrid>
      <w:tr>
        <w:tblPrEx/>
        <w:trPr>
          <w:trHeight w:val="20"/>
        </w:trPr>
        <w:tc>
          <w:tcPr>
            <w:shd w:val="clear" w:color="auto" w:fill="auto"/>
            <w:tcW w:w="962" w:type="pct"/>
            <w:vMerge w:val="restart"/>
            <w:textDirection w:val="lrTb"/>
            <w:noWrap w:val="false"/>
          </w:tcPr>
          <w:p>
            <w:pPr>
              <w:ind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Целевое назначение лесов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40" w:type="pct"/>
            <w:vMerge w:val="restart"/>
            <w:textDirection w:val="btLr"/>
            <w:noWrap w:val="false"/>
          </w:tcPr>
          <w:p>
            <w:pPr>
              <w:ind w:left="113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№ квартала (№ выдела)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7" w:type="pct"/>
            <w:vMerge w:val="restart"/>
            <w:textDirection w:val="btLr"/>
            <w:noWrap w:val="false"/>
          </w:tcPr>
          <w:p>
            <w:pPr>
              <w:ind w:left="113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Хозяйство, преобладающая порода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5" w:type="pct"/>
            <w:vMerge w:val="restart"/>
            <w:textDirection w:val="btLr"/>
            <w:noWrap w:val="false"/>
          </w:tcPr>
          <w:p>
            <w:pPr>
              <w:ind w:left="113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Состав насаждений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6" w:type="pct"/>
            <w:vMerge w:val="restart"/>
            <w:textDirection w:val="btLr"/>
            <w:noWrap w:val="false"/>
          </w:tcPr>
          <w:p>
            <w:pPr>
              <w:ind w:left="113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Возраст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41" w:type="pct"/>
            <w:vMerge w:val="restart"/>
            <w:textDirection w:val="btLr"/>
            <w:noWrap w:val="false"/>
          </w:tcPr>
          <w:p>
            <w:pPr>
              <w:ind w:left="113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Бонитет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13" w:type="pct"/>
            <w:vMerge w:val="restart"/>
            <w:textDirection w:val="btLr"/>
            <w:noWrap w:val="false"/>
          </w:tcPr>
          <w:p>
            <w:pPr>
              <w:ind w:left="113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Полнота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gridSpan w:val="4"/>
            <w:shd w:val="clear" w:color="auto" w:fill="auto"/>
            <w:tcW w:w="2396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Средний запас древесины (куб. м/</w:t>
            </w:r>
            <w:r>
              <w:rPr>
                <w:color w:val="000000"/>
                <w:sz w:val="16"/>
                <w:szCs w:val="16"/>
              </w:rPr>
              <w:t xml:space="preserve">га</w:t>
            </w:r>
            <w:r>
              <w:rPr>
                <w:color w:val="000000"/>
                <w:sz w:val="16"/>
                <w:szCs w:val="16"/>
              </w:rPr>
              <w:t xml:space="preserve">)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246"/>
        </w:trPr>
        <w:tc>
          <w:tcPr>
            <w:shd w:val="clear" w:color="auto" w:fill="auto"/>
            <w:tcW w:w="962" w:type="pct"/>
            <w:vMerge w:val="continue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40" w:type="pct"/>
            <w:vMerge w:val="continue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7" w:type="pct"/>
            <w:vMerge w:val="continue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5" w:type="pct"/>
            <w:vMerge w:val="continue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6" w:type="pct"/>
            <w:vMerge w:val="continue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41" w:type="pct"/>
            <w:vMerge w:val="continue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13" w:type="pct"/>
            <w:vMerge w:val="continue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</w:t>
            </w:r>
            <w:r>
              <w:rPr>
                <w:color w:val="000000"/>
                <w:sz w:val="16"/>
                <w:szCs w:val="16"/>
              </w:rPr>
              <w:t xml:space="preserve">олодняки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ind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</w:t>
            </w:r>
            <w:r>
              <w:rPr>
                <w:color w:val="000000"/>
                <w:sz w:val="16"/>
                <w:szCs w:val="16"/>
              </w:rPr>
              <w:t xml:space="preserve">редневозрастные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ind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</w:t>
            </w:r>
            <w:r>
              <w:rPr>
                <w:color w:val="000000"/>
                <w:sz w:val="16"/>
                <w:szCs w:val="16"/>
              </w:rPr>
              <w:t xml:space="preserve">риспевающие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ind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</w:t>
            </w:r>
            <w:r>
              <w:rPr>
                <w:color w:val="000000"/>
                <w:sz w:val="16"/>
                <w:szCs w:val="16"/>
              </w:rPr>
              <w:t xml:space="preserve">пелые и перестойные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962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40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7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5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316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41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213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ind w:left="-142"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ind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ind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</w:t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ind w:right="-2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gridSpan w:val="11"/>
            <w:shd w:val="clear" w:color="auto" w:fill="auto"/>
            <w:tcW w:w="500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sz w:val="16"/>
                <w:szCs w:val="16"/>
                <w:lang w:val="en-US" w:bidi="en-US"/>
              </w:rPr>
              <w:t xml:space="preserve">/ </w:t>
            </w:r>
            <w:r>
              <w:rPr>
                <w:sz w:val="16"/>
                <w:szCs w:val="16"/>
                <w:lang w:val="en-US" w:bidi="en-US"/>
              </w:rPr>
              <w:t xml:space="preserve">Болчаровское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962" w:type="pct"/>
            <w:vMerge w:val="restart"/>
            <w:textDirection w:val="lrTb"/>
            <w:noWrap w:val="false"/>
          </w:tcPr>
          <w:p>
            <w:pPr>
              <w:rPr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</w:rPr>
              <w:t xml:space="preserve">Эксплуатационные леса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0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7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6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1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13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60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962" w:type="pct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0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7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6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100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1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13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962" w:type="pct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0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158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7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6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100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1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13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gridSpan w:val="11"/>
            <w:shd w:val="clear" w:color="auto" w:fill="auto"/>
            <w:tcW w:w="500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Болчаровское</w:t>
            </w:r>
            <w:r>
              <w:rPr>
                <w:color w:val="000000"/>
                <w:sz w:val="16"/>
                <w:szCs w:val="16"/>
              </w:rPr>
              <w:t xml:space="preserve"> / Пойменное</w:t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962" w:type="pct"/>
            <w:vMerge w:val="restart"/>
            <w:textDirection w:val="lrTb"/>
            <w:noWrap w:val="false"/>
          </w:tcPr>
          <w:p>
            <w:pPr>
              <w:rPr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</w:rPr>
              <w:t xml:space="preserve">Эксплуатационные леса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0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7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6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1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13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50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962" w:type="pct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0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7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119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6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95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1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13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0,7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170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962" w:type="pct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0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7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121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6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35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1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13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50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962" w:type="pct"/>
            <w:vMerge w:val="continue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0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41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7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134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С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316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55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41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4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213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0,5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1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49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100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39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shd w:val="clear" w:color="auto" w:fill="auto"/>
            <w:tcW w:w="49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</w:tbl>
    <w:p>
      <w:r/>
      <w:r/>
    </w:p>
    <w:p>
      <w:pPr>
        <w:jc w:val="right"/>
        <w:spacing w:after="200" w:line="276" w:lineRule="auto"/>
      </w:pPr>
      <w:r>
        <w:t xml:space="preserve">Таблица </w:t>
      </w:r>
      <w:r>
        <w:t xml:space="preserve">13</w:t>
      </w:r>
      <w:r>
        <w:t xml:space="preserve"> </w:t>
      </w:r>
      <w:r/>
    </w:p>
    <w:p>
      <w:pPr>
        <w:jc w:val="center"/>
        <w:spacing w:after="200" w:line="276" w:lineRule="auto"/>
      </w:pPr>
      <w:r>
        <w:t xml:space="preserve">Виды и объемы использования лесов на проектируемом лесном участке</w:t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291"/>
        <w:gridCol w:w="1845"/>
        <w:gridCol w:w="1145"/>
        <w:gridCol w:w="1281"/>
        <w:gridCol w:w="2292"/>
      </w:tblGrid>
      <w:tr>
        <w:tblPrEx/>
        <w:trPr>
          <w:trHeight w:val="68"/>
        </w:trPr>
        <w:tc>
          <w:tcPr>
            <w:shd w:val="clear" w:color="auto" w:fill="auto"/>
            <w:tcW w:w="1670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Целевое</w:t>
            </w:r>
            <w:r>
              <w:rPr>
                <w:sz w:val="16"/>
                <w:szCs w:val="16"/>
                <w:lang w:val="en-US"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назначение</w:t>
            </w:r>
            <w:r>
              <w:rPr>
                <w:sz w:val="16"/>
                <w:szCs w:val="16"/>
                <w:lang w:val="en-US"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лесов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6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Хозяйство</w:t>
            </w:r>
            <w:r>
              <w:rPr>
                <w:sz w:val="16"/>
                <w:szCs w:val="16"/>
                <w:lang w:val="en-US" w:bidi="en-US"/>
              </w:rPr>
              <w:t xml:space="preserve"> (</w:t>
            </w:r>
            <w:r>
              <w:rPr>
                <w:sz w:val="16"/>
                <w:szCs w:val="16"/>
                <w:lang w:val="en-US" w:bidi="en-US"/>
              </w:rPr>
              <w:t xml:space="preserve">хвойное</w:t>
            </w:r>
            <w:r>
              <w:rPr>
                <w:sz w:val="16"/>
                <w:szCs w:val="16"/>
                <w:lang w:val="en-US" w:bidi="en-US"/>
              </w:rPr>
              <w:t xml:space="preserve">, </w:t>
            </w:r>
            <w:r>
              <w:rPr>
                <w:sz w:val="16"/>
                <w:szCs w:val="16"/>
                <w:lang w:val="en-US" w:bidi="en-US"/>
              </w:rPr>
              <w:t xml:space="preserve">твердолиственное</w:t>
            </w:r>
            <w:r>
              <w:rPr>
                <w:sz w:val="16"/>
                <w:szCs w:val="16"/>
                <w:lang w:val="en-US" w:bidi="en-US"/>
              </w:rPr>
              <w:t xml:space="preserve">, </w:t>
            </w:r>
            <w:r>
              <w:rPr>
                <w:sz w:val="16"/>
                <w:szCs w:val="16"/>
                <w:lang w:val="en-US" w:bidi="en-US"/>
              </w:rPr>
              <w:t xml:space="preserve">мягколиственные)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81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Площадь</w:t>
            </w:r>
            <w:r>
              <w:rPr>
                <w:sz w:val="16"/>
                <w:szCs w:val="16"/>
                <w:lang w:val="en-US" w:bidi="en-US"/>
              </w:rPr>
              <w:t xml:space="preserve"> (</w:t>
            </w:r>
            <w:r>
              <w:rPr>
                <w:sz w:val="16"/>
                <w:szCs w:val="16"/>
                <w:lang w:val="en-US" w:bidi="en-US"/>
              </w:rPr>
              <w:t xml:space="preserve">га</w:t>
            </w:r>
            <w:r>
              <w:rPr>
                <w:sz w:val="16"/>
                <w:szCs w:val="16"/>
                <w:lang w:val="en-US" w:bidi="en-US"/>
              </w:rPr>
              <w:t xml:space="preserve">)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50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Единица</w:t>
            </w:r>
            <w:r>
              <w:rPr>
                <w:sz w:val="16"/>
                <w:szCs w:val="16"/>
                <w:lang w:val="en-US"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измерения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1163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bidi="en-US"/>
              </w:rPr>
              <w:t xml:space="preserve">Объемы использования лесов (изъятия лесных ресурсов)</w:t>
            </w:r>
            <w:r>
              <w:rPr>
                <w:sz w:val="16"/>
                <w:szCs w:val="16"/>
                <w:lang w:bidi="en-US"/>
              </w:rPr>
            </w:r>
          </w:p>
        </w:tc>
      </w:tr>
      <w:tr>
        <w:tblPrEx/>
        <w:trPr>
          <w:trHeight w:val="68"/>
        </w:trPr>
        <w:tc>
          <w:tcPr>
            <w:gridSpan w:val="5"/>
            <w:shd w:val="clear" w:color="auto" w:fill="auto"/>
            <w:tcW w:w="5000" w:type="pct"/>
            <w:textDirection w:val="lrTb"/>
            <w:noWrap w:val="false"/>
          </w:tcPr>
          <w:p>
            <w:pPr>
              <w:spacing w:before="100" w:beforeAutospacing="1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bidi="en-US"/>
              </w:rPr>
              <w:t xml:space="preserve">Вид использования лесов - </w:t>
            </w:r>
            <w:r>
              <w:rPr>
                <w:sz w:val="16"/>
                <w:szCs w:val="16"/>
                <w:lang w:bidi="en-US"/>
              </w:rPr>
              <w:t xml:space="preserve">с</w:t>
            </w:r>
            <w:r>
              <w:rPr>
                <w:sz w:val="16"/>
                <w:szCs w:val="16"/>
                <w:lang w:bidi="en-US"/>
              </w:rPr>
              <w:t xml:space="preserve">троительство, реконструкция,</w:t>
            </w:r>
            <w:r>
              <w:rPr>
                <w:sz w:val="16"/>
                <w:szCs w:val="16"/>
                <w:lang w:bidi="en-US"/>
              </w:rPr>
              <w:t xml:space="preserve"> эксплуатация линейных объектов</w:t>
            </w:r>
            <w:r>
              <w:rPr>
                <w:sz w:val="16"/>
                <w:szCs w:val="16"/>
                <w:lang w:bidi="en-US"/>
              </w:rPr>
            </w:r>
          </w:p>
          <w:p>
            <w:pPr>
              <w:jc w:val="both"/>
              <w:spacing w:before="100" w:beforeAutospacing="1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bidi="en-US"/>
              </w:rPr>
              <w:t xml:space="preserve">Цель предоставления лесного участка </w:t>
            </w:r>
            <w:r>
              <w:rPr>
                <w:sz w:val="16"/>
                <w:szCs w:val="16"/>
                <w:lang w:bidi="en-US"/>
              </w:rPr>
              <w:t xml:space="preserve">-</w:t>
            </w:r>
            <w:r>
              <w:rPr>
                <w:sz w:val="16"/>
                <w:szCs w:val="16"/>
                <w:lang w:bidi="en-US"/>
              </w:rPr>
              <w:t xml:space="preserve"> в аренду в целях строительства, реконструкции, эксплуатации линейных объектов (211028 - Обустройство Кондинского месторождения.</w:t>
            </w:r>
            <w:r>
              <w:rPr>
                <w:sz w:val="16"/>
                <w:szCs w:val="16"/>
                <w:lang w:bidi="en-US"/>
              </w:rPr>
              <w:t xml:space="preserve"> </w:t>
            </w:r>
            <w:r>
              <w:rPr>
                <w:sz w:val="16"/>
                <w:szCs w:val="16"/>
                <w:lang w:bidi="en-US"/>
              </w:rPr>
              <w:t xml:space="preserve">Куст скважин 40 и коридоры коммуникаций)</w:t>
            </w:r>
            <w:r>
              <w:rPr>
                <w:sz w:val="16"/>
                <w:szCs w:val="16"/>
                <w:lang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167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Эксплуатационные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 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леса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6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Хвойное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 (С)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81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16,1747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65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га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/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куб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.</w:t>
            </w:r>
            <w:r>
              <w:rPr>
                <w:color w:val="000000"/>
                <w:sz w:val="16"/>
                <w:szCs w:val="16"/>
                <w:lang w:bidi="en-US"/>
              </w:rPr>
              <w:t xml:space="preserve"> 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м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116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1</w:t>
            </w:r>
            <w:r>
              <w:rPr>
                <w:color w:val="000000"/>
                <w:sz w:val="16"/>
                <w:szCs w:val="16"/>
                <w:lang w:bidi="en-US"/>
              </w:rPr>
              <w:t xml:space="preserve"> 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500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</w:tr>
    </w:tbl>
    <w:p>
      <w:pPr>
        <w:contextualSpacing/>
        <w:spacing w:after="200"/>
      </w:pPr>
      <w:r/>
      <w:r/>
    </w:p>
    <w:p>
      <w:pPr>
        <w:contextualSpacing/>
        <w:jc w:val="right"/>
        <w:spacing w:after="200"/>
      </w:pPr>
      <w:r>
        <w:t xml:space="preserve">Таблица </w:t>
      </w:r>
      <w:r>
        <w:t xml:space="preserve">14</w:t>
      </w:r>
      <w:r>
        <w:t xml:space="preserve"> </w:t>
      </w:r>
      <w:r/>
    </w:p>
    <w:p>
      <w:pPr>
        <w:contextualSpacing/>
        <w:jc w:val="right"/>
        <w:spacing w:after="200"/>
      </w:pPr>
      <w:r/>
      <w:r/>
    </w:p>
    <w:p>
      <w:pPr>
        <w:contextualSpacing/>
        <w:jc w:val="center"/>
        <w:spacing w:after="200"/>
      </w:pPr>
      <w:r>
        <w:t xml:space="preserve">Виды и объемы использования лесов на проектируемом лесном участке</w:t>
      </w:r>
      <w:r/>
    </w:p>
    <w:p>
      <w:pPr>
        <w:contextualSpacing/>
        <w:spacing w:after="200"/>
      </w:pPr>
      <w:r/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291"/>
        <w:gridCol w:w="1845"/>
        <w:gridCol w:w="1145"/>
        <w:gridCol w:w="1567"/>
        <w:gridCol w:w="2006"/>
      </w:tblGrid>
      <w:tr>
        <w:tblPrEx/>
        <w:trPr>
          <w:trHeight w:val="68"/>
        </w:trPr>
        <w:tc>
          <w:tcPr>
            <w:shd w:val="clear" w:color="auto" w:fill="auto"/>
            <w:tcW w:w="1670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/>
            <w:bookmarkStart w:id="62" w:name="_Toc27496316"/>
            <w:r/>
            <w:bookmarkStart w:id="63" w:name="_Toc29881970"/>
            <w:r/>
            <w:bookmarkStart w:id="64" w:name="_Toc31180903"/>
            <w:r/>
            <w:bookmarkStart w:id="65" w:name="_Toc51247122"/>
            <w:r/>
            <w:bookmarkStart w:id="66" w:name="_Toc68650301"/>
            <w:r>
              <w:rPr>
                <w:sz w:val="16"/>
                <w:szCs w:val="16"/>
                <w:lang w:val="en-US" w:bidi="en-US"/>
              </w:rPr>
              <w:t xml:space="preserve">Целевое</w:t>
            </w:r>
            <w:r>
              <w:rPr>
                <w:sz w:val="16"/>
                <w:szCs w:val="16"/>
                <w:lang w:val="en-US"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назначение</w:t>
            </w:r>
            <w:r>
              <w:rPr>
                <w:sz w:val="16"/>
                <w:szCs w:val="16"/>
                <w:lang w:val="en-US"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лесов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6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Хозяйство</w:t>
            </w:r>
            <w:r>
              <w:rPr>
                <w:sz w:val="16"/>
                <w:szCs w:val="16"/>
                <w:lang w:val="en-US" w:bidi="en-US"/>
              </w:rPr>
              <w:t xml:space="preserve"> (</w:t>
            </w:r>
            <w:r>
              <w:rPr>
                <w:sz w:val="16"/>
                <w:szCs w:val="16"/>
                <w:lang w:val="en-US" w:bidi="en-US"/>
              </w:rPr>
              <w:t xml:space="preserve">хвойное</w:t>
            </w:r>
            <w:r>
              <w:rPr>
                <w:sz w:val="16"/>
                <w:szCs w:val="16"/>
                <w:lang w:val="en-US" w:bidi="en-US"/>
              </w:rPr>
              <w:t xml:space="preserve">, </w:t>
            </w:r>
            <w:r>
              <w:rPr>
                <w:sz w:val="16"/>
                <w:szCs w:val="16"/>
                <w:lang w:val="en-US" w:bidi="en-US"/>
              </w:rPr>
              <w:t xml:space="preserve">твердолиственное</w:t>
            </w:r>
            <w:r>
              <w:rPr>
                <w:sz w:val="16"/>
                <w:szCs w:val="16"/>
                <w:lang w:val="en-US" w:bidi="en-US"/>
              </w:rPr>
              <w:t xml:space="preserve">, мягколиственные)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81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Площадь</w:t>
            </w:r>
            <w:r>
              <w:rPr>
                <w:sz w:val="16"/>
                <w:szCs w:val="16"/>
                <w:lang w:val="en-US" w:bidi="en-US"/>
              </w:rPr>
              <w:t xml:space="preserve"> (</w:t>
            </w:r>
            <w:r>
              <w:rPr>
                <w:sz w:val="16"/>
                <w:szCs w:val="16"/>
                <w:lang w:val="en-US" w:bidi="en-US"/>
              </w:rPr>
              <w:t xml:space="preserve">га</w:t>
            </w:r>
            <w:r>
              <w:rPr>
                <w:sz w:val="16"/>
                <w:szCs w:val="16"/>
                <w:lang w:val="en-US" w:bidi="en-US"/>
              </w:rPr>
              <w:t xml:space="preserve">)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95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val="en-US" w:bidi="en-US"/>
              </w:rPr>
              <w:t xml:space="preserve">Единица</w:t>
            </w:r>
            <w:r>
              <w:rPr>
                <w:sz w:val="16"/>
                <w:szCs w:val="16"/>
                <w:lang w:val="en-US"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измерения</w:t>
            </w:r>
            <w:r>
              <w:rPr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1018" w:type="pc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bidi="en-US"/>
              </w:rPr>
              <w:t xml:space="preserve">Объемы использования лесов (изъятия лесных ресурсов)</w:t>
            </w:r>
            <w:r>
              <w:rPr>
                <w:sz w:val="16"/>
                <w:szCs w:val="16"/>
                <w:lang w:bidi="en-US"/>
              </w:rPr>
            </w:r>
          </w:p>
        </w:tc>
      </w:tr>
      <w:tr>
        <w:tblPrEx/>
        <w:trPr>
          <w:trHeight w:val="68"/>
        </w:trPr>
        <w:tc>
          <w:tcPr>
            <w:gridSpan w:val="5"/>
            <w:shd w:val="clear" w:color="auto" w:fill="auto"/>
            <w:tcW w:w="5000" w:type="pct"/>
            <w:textDirection w:val="lrTb"/>
            <w:noWrap w:val="false"/>
          </w:tcPr>
          <w:p>
            <w:pPr>
              <w:jc w:val="both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bidi="en-US"/>
              </w:rPr>
              <w:t xml:space="preserve">Вид использования лесов - осуществление геологического изучения недр, разведка и добыча полезных ископаемых</w:t>
            </w:r>
            <w:r>
              <w:rPr>
                <w:sz w:val="16"/>
                <w:szCs w:val="16"/>
                <w:lang w:bidi="en-US"/>
              </w:rPr>
            </w:r>
          </w:p>
          <w:p>
            <w:pPr>
              <w:jc w:val="both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bidi="en-US"/>
              </w:rPr>
            </w:r>
            <w:r>
              <w:rPr>
                <w:sz w:val="16"/>
                <w:szCs w:val="16"/>
                <w:lang w:bidi="en-US"/>
              </w:rPr>
            </w:r>
          </w:p>
          <w:p>
            <w:pPr>
              <w:jc w:val="both"/>
              <w:rPr>
                <w:sz w:val="16"/>
                <w:szCs w:val="16"/>
                <w:lang w:val="en-US" w:bidi="en-US"/>
              </w:rPr>
            </w:pPr>
            <w:r>
              <w:rPr>
                <w:sz w:val="16"/>
                <w:szCs w:val="16"/>
                <w:lang w:bidi="en-US"/>
              </w:rPr>
              <w:t xml:space="preserve">Цель предоставления лесного участка – в аренду в целях осуществления геологического изучения недр, разведка и добыча полезных ископаемых (211028 - Обустройство Кондинского месторождения.</w:t>
            </w:r>
            <w:r>
              <w:rPr>
                <w:sz w:val="16"/>
                <w:szCs w:val="16"/>
                <w:lang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Куст</w:t>
            </w:r>
            <w:r>
              <w:rPr>
                <w:sz w:val="16"/>
                <w:szCs w:val="16"/>
                <w:lang w:val="en-US"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скважин</w:t>
            </w:r>
            <w:r>
              <w:rPr>
                <w:sz w:val="16"/>
                <w:szCs w:val="16"/>
                <w:lang w:val="en-US" w:bidi="en-US"/>
              </w:rPr>
              <w:t xml:space="preserve"> 40 и </w:t>
            </w:r>
            <w:r>
              <w:rPr>
                <w:sz w:val="16"/>
                <w:szCs w:val="16"/>
                <w:lang w:val="en-US" w:bidi="en-US"/>
              </w:rPr>
              <w:t xml:space="preserve">коридоры</w:t>
            </w:r>
            <w:r>
              <w:rPr>
                <w:sz w:val="16"/>
                <w:szCs w:val="16"/>
                <w:lang w:val="en-US" w:bidi="en-US"/>
              </w:rPr>
              <w:t xml:space="preserve"> </w:t>
            </w:r>
            <w:r>
              <w:rPr>
                <w:sz w:val="16"/>
                <w:szCs w:val="16"/>
                <w:lang w:val="en-US" w:bidi="en-US"/>
              </w:rPr>
              <w:t xml:space="preserve">коммуникаций</w:t>
            </w:r>
            <w:r>
              <w:rPr>
                <w:sz w:val="16"/>
                <w:szCs w:val="16"/>
                <w:lang w:val="en-US" w:bidi="en-US"/>
              </w:rPr>
              <w:t xml:space="preserve">)</w:t>
            </w:r>
            <w:r>
              <w:rPr>
                <w:sz w:val="16"/>
                <w:szCs w:val="16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1670" w:type="pct"/>
            <w:textDirection w:val="lrTb"/>
            <w:noWrap w:val="false"/>
          </w:tcPr>
          <w:p>
            <w:pPr>
              <w:contextualSpacing/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Эксплуатационные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 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леса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936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Хвойное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 (С)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581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11,7866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79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га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/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куб.м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  <w:tc>
          <w:tcPr>
            <w:shd w:val="clear" w:color="auto" w:fill="auto"/>
            <w:tcW w:w="1018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  <w:lang w:val="en-US" w:bidi="en-US"/>
              </w:rPr>
            </w:pPr>
            <w:r>
              <w:rPr>
                <w:color w:val="000000"/>
                <w:sz w:val="16"/>
                <w:szCs w:val="16"/>
                <w:lang w:val="en-US" w:bidi="en-US"/>
              </w:rPr>
              <w:t xml:space="preserve">1</w:t>
            </w:r>
            <w:r>
              <w:rPr>
                <w:color w:val="000000"/>
                <w:sz w:val="16"/>
                <w:szCs w:val="16"/>
                <w:lang w:bidi="en-US"/>
              </w:rPr>
              <w:t xml:space="preserve"> </w:t>
            </w:r>
            <w:r>
              <w:rPr>
                <w:color w:val="000000"/>
                <w:sz w:val="16"/>
                <w:szCs w:val="16"/>
                <w:lang w:val="en-US" w:bidi="en-US"/>
              </w:rPr>
              <w:t xml:space="preserve">179</w:t>
            </w:r>
            <w:r>
              <w:rPr>
                <w:color w:val="000000"/>
                <w:sz w:val="16"/>
                <w:szCs w:val="16"/>
                <w:lang w:val="en-US" w:bidi="en-US"/>
              </w:rPr>
            </w:r>
          </w:p>
        </w:tc>
      </w:tr>
    </w:tbl>
    <w:p>
      <w:pPr>
        <w:pStyle w:val="889"/>
        <w:numPr>
          <w:ilvl w:val="0"/>
          <w:numId w:val="0"/>
        </w:numPr>
        <w:contextualSpacing/>
        <w:ind w:left="720"/>
        <w:jc w:val="center"/>
        <w:tabs>
          <w:tab w:val="left" w:pos="993" w:leader="none"/>
        </w:tabs>
        <w:rPr>
          <w:b w:val="0"/>
          <w:color w:val="000000"/>
        </w:rPr>
      </w:pPr>
      <w:r>
        <w:rPr>
          <w:b w:val="0"/>
          <w:color w:val="000000"/>
        </w:rPr>
      </w:r>
      <w:r>
        <w:rPr>
          <w:b w:val="0"/>
          <w:color w:val="000000"/>
        </w:rPr>
      </w:r>
    </w:p>
    <w:p>
      <w:pPr>
        <w:pStyle w:val="889"/>
        <w:numPr>
          <w:ilvl w:val="0"/>
          <w:numId w:val="0"/>
        </w:numPr>
        <w:contextualSpacing/>
        <w:jc w:val="center"/>
        <w:tabs>
          <w:tab w:val="left" w:pos="993" w:leader="none"/>
        </w:tabs>
        <w:rPr>
          <w:b w:val="0"/>
          <w:color w:val="000000"/>
        </w:rPr>
      </w:pPr>
      <w:r>
        <w:rPr>
          <w:b w:val="0"/>
          <w:color w:val="000000"/>
        </w:rPr>
        <w:t xml:space="preserve">2.7. </w:t>
      </w:r>
      <w:r>
        <w:rPr>
          <w:b w:val="0"/>
          <w:color w:val="000000"/>
        </w:rPr>
        <w:t xml:space="preserve">Сведения об обременениях проектируемого лесного участка</w:t>
      </w:r>
      <w:bookmarkEnd w:id="62"/>
      <w:r/>
      <w:bookmarkEnd w:id="63"/>
      <w:r/>
      <w:bookmarkEnd w:id="64"/>
      <w:r/>
      <w:bookmarkEnd w:id="65"/>
      <w:r/>
      <w:bookmarkEnd w:id="66"/>
      <w:r/>
      <w:r>
        <w:rPr>
          <w:b w:val="0"/>
          <w:color w:val="000000"/>
        </w:rPr>
      </w:r>
    </w:p>
    <w:p>
      <w:r/>
      <w:r/>
    </w:p>
    <w:p>
      <w:pPr>
        <w:pStyle w:val="956"/>
        <w:contextualSpacing/>
      </w:pPr>
      <w:r>
        <w:t xml:space="preserve">По данным государственного лесного реестра Кондинского лесничества обременения имеются:</w:t>
      </w:r>
      <w:r/>
    </w:p>
    <w:p>
      <w:pPr>
        <w:pStyle w:val="956"/>
        <w:contextualSpacing/>
      </w:pPr>
      <w:r>
        <w:t xml:space="preserve">1. </w:t>
      </w:r>
      <w:r>
        <w:t xml:space="preserve">Договор аренды </w:t>
      </w:r>
      <w:r>
        <w:t xml:space="preserve">от 01 ноября 2022 года </w:t>
      </w:r>
      <w:r>
        <w:t xml:space="preserve">№</w:t>
      </w:r>
      <w:r>
        <w:t xml:space="preserve"> </w:t>
      </w:r>
      <w:r>
        <w:t xml:space="preserve">0120/22-04-ДА </w:t>
      </w:r>
      <w:r>
        <w:t xml:space="preserve">акционерное общество</w:t>
      </w:r>
      <w:r>
        <w:t xml:space="preserve"> «Нефтяная компания «Конданефть» (осуществление геологического изучения недр, разведка и добыча поле</w:t>
      </w:r>
      <w:r>
        <w:t xml:space="preserve">зных ископаемых).</w:t>
      </w:r>
      <w:r/>
    </w:p>
    <w:p>
      <w:pPr>
        <w:pStyle w:val="956"/>
        <w:contextualSpacing/>
        <w:ind w:firstLine="709"/>
      </w:pPr>
      <w:r>
        <w:t xml:space="preserve">2. </w:t>
      </w:r>
      <w:r>
        <w:t xml:space="preserve">Договор аренды от 28</w:t>
      </w:r>
      <w:r>
        <w:t xml:space="preserve"> апреля </w:t>
      </w:r>
      <w:r>
        <w:t xml:space="preserve">2023</w:t>
      </w:r>
      <w:r>
        <w:t xml:space="preserve"> </w:t>
      </w:r>
      <w:r>
        <w:t xml:space="preserve">г</w:t>
      </w:r>
      <w:r>
        <w:t xml:space="preserve">ода № 0024/23-04-ДА</w:t>
      </w:r>
      <w:r>
        <w:t xml:space="preserve"> </w:t>
      </w:r>
      <w:r>
        <w:t xml:space="preserve">акционерное общество</w:t>
      </w:r>
      <w:r>
        <w:t xml:space="preserve"> «Нефтяная компания «Конданефть» (осуществление геологического изучения недр, разведк</w:t>
      </w:r>
      <w:r>
        <w:t xml:space="preserve">а и добыча полезных ископаемых).</w:t>
      </w:r>
      <w:r/>
    </w:p>
    <w:p>
      <w:pPr>
        <w:pStyle w:val="956"/>
        <w:contextualSpacing/>
        <w:ind w:firstLine="709"/>
      </w:pPr>
      <w:r>
        <w:t xml:space="preserve">3. </w:t>
      </w:r>
      <w:r>
        <w:t xml:space="preserve">Договор аренды </w:t>
      </w:r>
      <w:r>
        <w:t xml:space="preserve">от 22 января 2020 года </w:t>
      </w:r>
      <w:r>
        <w:t xml:space="preserve">№</w:t>
      </w:r>
      <w:r>
        <w:t xml:space="preserve"> </w:t>
      </w:r>
      <w:r>
        <w:t xml:space="preserve">0003/20-04-ДА </w:t>
      </w:r>
      <w:r>
        <w:t xml:space="preserve">акционерное общество</w:t>
      </w:r>
      <w:r>
        <w:t xml:space="preserve"> «Нефтяная компания «Конданефть» (строительство, реконструкция, </w:t>
      </w:r>
      <w:r>
        <w:t xml:space="preserve">эксплуатация линейных объектов).</w:t>
      </w:r>
      <w:r/>
    </w:p>
    <w:p>
      <w:pPr>
        <w:pStyle w:val="956"/>
        <w:contextualSpacing/>
        <w:ind w:firstLine="709"/>
      </w:pPr>
      <w:r>
        <w:t xml:space="preserve">4. </w:t>
      </w:r>
      <w:r>
        <w:t xml:space="preserve">Договор аренды </w:t>
      </w:r>
      <w:r>
        <w:t xml:space="preserve">от 28 апреля 2023 года </w:t>
      </w:r>
      <w:r>
        <w:t xml:space="preserve">№</w:t>
      </w:r>
      <w:r>
        <w:t xml:space="preserve"> </w:t>
      </w:r>
      <w:r>
        <w:t xml:space="preserve">0024/23-04-ДА </w:t>
      </w:r>
      <w:r>
        <w:t xml:space="preserve">акционерное общество</w:t>
      </w:r>
      <w:r>
        <w:t xml:space="preserve"> «Нефтяная компания «Конданефть» (осуществление геологического изучения недр, разведка и добыча полезных ископаемых)</w:t>
      </w:r>
      <w:r>
        <w:t xml:space="preserve">.</w:t>
      </w:r>
      <w:r/>
    </w:p>
    <w:p>
      <w:pPr>
        <w:pStyle w:val="749"/>
        <w:ind w:left="432"/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</w:r>
    </w:p>
    <w:p>
      <w:pPr>
        <w:pStyle w:val="889"/>
        <w:numPr>
          <w:ilvl w:val="0"/>
          <w:numId w:val="0"/>
        </w:numPr>
        <w:contextualSpacing/>
        <w:jc w:val="center"/>
        <w:tabs>
          <w:tab w:val="left" w:pos="993" w:leader="none"/>
        </w:tabs>
        <w:rPr>
          <w:b w:val="0"/>
          <w:color w:val="000000"/>
        </w:rPr>
      </w:pPr>
      <w:r/>
      <w:bookmarkStart w:id="67" w:name="_Toc51247123"/>
      <w:r/>
      <w:bookmarkStart w:id="68" w:name="_Toc68650302"/>
      <w:r>
        <w:rPr>
          <w:b w:val="0"/>
          <w:color w:val="000000"/>
        </w:rPr>
        <w:t xml:space="preserve">2.8. </w:t>
      </w:r>
      <w:r>
        <w:rPr>
          <w:b w:val="0"/>
          <w:color w:val="000000"/>
        </w:rPr>
        <w:t xml:space="preserve">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bookmarkEnd w:id="67"/>
      <w:r/>
      <w:bookmarkEnd w:id="68"/>
      <w:r/>
      <w:r>
        <w:rPr>
          <w:b w:val="0"/>
          <w:color w:val="000000"/>
        </w:rPr>
      </w:r>
    </w:p>
    <w:p>
      <w:pPr>
        <w:contextualSpacing/>
      </w:pPr>
      <w:r/>
      <w:r/>
    </w:p>
    <w:p>
      <w:pPr>
        <w:pStyle w:val="956"/>
        <w:contextualSpacing/>
      </w:pPr>
      <w:r>
        <w:t xml:space="preserve">Согласно данным государственного лесного реестра на проектируемом лесном </w:t>
      </w:r>
      <w:r>
        <w:t xml:space="preserve">участке отсутствуют особо охран</w:t>
      </w:r>
      <w:r>
        <w:t xml:space="preserve">яемы</w:t>
      </w:r>
      <w:r>
        <w:t xml:space="preserve">е</w:t>
      </w:r>
      <w:r>
        <w:t xml:space="preserve"> природные территории (ООПТ), </w:t>
      </w:r>
      <w:r>
        <w:t xml:space="preserve">з</w:t>
      </w:r>
      <w:r>
        <w:t xml:space="preserve">оны</w:t>
      </w:r>
      <w:r>
        <w:t xml:space="preserve"> с особыми условиями использования территорий и особо защитные участки лесов (ОЗУ).</w:t>
      </w:r>
      <w:r/>
    </w:p>
    <w:p>
      <w:pPr>
        <w:contextualSpacing/>
      </w:pPr>
      <w:r/>
      <w:r/>
    </w:p>
    <w:p>
      <w:pPr>
        <w:contextualSpacing/>
        <w:jc w:val="right"/>
        <w:spacing w:after="200"/>
      </w:pPr>
      <w:r>
        <w:t xml:space="preserve">Таблица </w:t>
      </w:r>
      <w:r>
        <w:t xml:space="preserve">15</w:t>
      </w:r>
      <w:r/>
    </w:p>
    <w:p>
      <w:pPr>
        <w:contextualSpacing/>
        <w:jc w:val="right"/>
        <w:spacing w:after="200"/>
      </w:pPr>
      <w:r/>
      <w:r/>
    </w:p>
    <w:p>
      <w:pPr>
        <w:contextualSpacing/>
        <w:jc w:val="center"/>
        <w:spacing w:after="200"/>
      </w:pPr>
      <w:r>
        <w:t xml:space="preserve">Виды ОЗУ, наименование ООПТ, виды зон с особыми условиями использования территорий</w:t>
      </w:r>
      <w:r/>
    </w:p>
    <w:p>
      <w:pPr>
        <w:contextualSpacing/>
        <w:spacing w:after="200"/>
      </w:pPr>
      <w:r/>
      <w:r/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59"/>
        <w:gridCol w:w="2735"/>
        <w:gridCol w:w="1006"/>
        <w:gridCol w:w="839"/>
        <w:gridCol w:w="3588"/>
        <w:gridCol w:w="1012"/>
      </w:tblGrid>
      <w:tr>
        <w:tblPrEx/>
        <w:trPr/>
        <w:tc>
          <w:tcPr>
            <w:shd w:val="clear" w:color="auto" w:fill="auto"/>
            <w:tcW w:w="183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bidi="en-US"/>
              </w:rPr>
              <w:t xml:space="preserve">№</w:t>
            </w:r>
            <w:r>
              <w:rPr>
                <w:sz w:val="18"/>
                <w:szCs w:val="18"/>
                <w:lang w:val="en-US" w:bidi="en-US"/>
              </w:rPr>
              <w:t xml:space="preserve"> </w:t>
            </w:r>
            <w:r>
              <w:rPr>
                <w:sz w:val="18"/>
                <w:szCs w:val="18"/>
                <w:lang w:val="en-US" w:bidi="en-US"/>
              </w:rPr>
              <w:t xml:space="preserve">п</w:t>
            </w:r>
            <w:r>
              <w:rPr>
                <w:sz w:val="18"/>
                <w:szCs w:val="18"/>
                <w:lang w:val="en-US" w:bidi="en-US"/>
              </w:rPr>
              <w:t xml:space="preserve">/п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1430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Наименование участкового лесничества/урочища (при </w:t>
            </w:r>
            <w:r>
              <w:rPr>
                <w:sz w:val="18"/>
                <w:szCs w:val="18"/>
                <w:lang w:bidi="en-US"/>
              </w:rPr>
              <w:t xml:space="preserve">наличии</w:t>
            </w:r>
            <w:r>
              <w:rPr>
                <w:sz w:val="18"/>
                <w:szCs w:val="18"/>
                <w:lang w:bidi="en-US"/>
              </w:rPr>
              <w:t xml:space="preserve">)</w:t>
            </w:r>
            <w:r>
              <w:rPr>
                <w:sz w:val="18"/>
                <w:szCs w:val="18"/>
                <w:lang w:bidi="en-US"/>
              </w:rPr>
            </w:r>
          </w:p>
        </w:tc>
        <w:tc>
          <w:tcPr>
            <w:shd w:val="clear" w:color="auto" w:fill="auto"/>
            <w:tcW w:w="533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Номер</w:t>
            </w:r>
            <w:r>
              <w:rPr>
                <w:sz w:val="18"/>
                <w:szCs w:val="18"/>
                <w:lang w:val="en-US" w:bidi="en-US"/>
              </w:rPr>
              <w:t xml:space="preserve"> </w:t>
            </w:r>
            <w:r>
              <w:rPr>
                <w:sz w:val="18"/>
                <w:szCs w:val="18"/>
                <w:lang w:val="en-US" w:bidi="en-US"/>
              </w:rPr>
              <w:t xml:space="preserve">квартала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446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Номер</w:t>
            </w:r>
            <w:r>
              <w:rPr>
                <w:sz w:val="18"/>
                <w:szCs w:val="18"/>
                <w:lang w:val="en-US" w:bidi="en-US"/>
              </w:rPr>
              <w:t xml:space="preserve"> </w:t>
            </w:r>
            <w:r>
              <w:rPr>
                <w:sz w:val="18"/>
                <w:szCs w:val="18"/>
                <w:lang w:val="en-US" w:bidi="en-US"/>
              </w:rPr>
              <w:t xml:space="preserve">выдела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1872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Виды ОЗУ, наименование ООПТ, виды зон с особыми условиями использования территорий</w:t>
            </w:r>
            <w:r>
              <w:rPr>
                <w:sz w:val="18"/>
                <w:szCs w:val="18"/>
                <w:lang w:bidi="en-US"/>
              </w:rPr>
            </w:r>
          </w:p>
        </w:tc>
        <w:tc>
          <w:tcPr>
            <w:shd w:val="clear" w:color="auto" w:fill="auto"/>
            <w:tcW w:w="537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Общая</w:t>
            </w:r>
            <w:r>
              <w:rPr>
                <w:sz w:val="18"/>
                <w:szCs w:val="18"/>
                <w:lang w:val="en-US" w:bidi="en-US"/>
              </w:rPr>
              <w:t xml:space="preserve"> </w:t>
            </w:r>
            <w:r>
              <w:rPr>
                <w:sz w:val="18"/>
                <w:szCs w:val="18"/>
                <w:lang w:val="en-US" w:bidi="en-US"/>
              </w:rPr>
              <w:t xml:space="preserve">площадь</w:t>
            </w:r>
            <w:r>
              <w:rPr>
                <w:sz w:val="18"/>
                <w:szCs w:val="18"/>
                <w:lang w:val="en-US" w:bidi="en-US"/>
              </w:rPr>
              <w:t xml:space="preserve">, </w:t>
            </w:r>
            <w:r>
              <w:rPr>
                <w:sz w:val="18"/>
                <w:szCs w:val="18"/>
                <w:lang w:val="en-US" w:bidi="en-US"/>
              </w:rPr>
              <w:t xml:space="preserve">га</w:t>
            </w:r>
            <w:r>
              <w:rPr>
                <w:sz w:val="18"/>
                <w:szCs w:val="18"/>
                <w:lang w:val="en-US" w:bidi="en-US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W w:w="183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1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1430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2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533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3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446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4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1872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5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537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6</w:t>
            </w:r>
            <w:r>
              <w:rPr>
                <w:sz w:val="18"/>
                <w:szCs w:val="18"/>
                <w:lang w:val="en-US" w:bidi="en-US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W w:w="183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-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1430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-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533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-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446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-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1872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-</w:t>
            </w:r>
            <w:r>
              <w:rPr>
                <w:sz w:val="18"/>
                <w:szCs w:val="18"/>
                <w:lang w:val="en-US" w:bidi="en-US"/>
              </w:rPr>
            </w:r>
          </w:p>
        </w:tc>
        <w:tc>
          <w:tcPr>
            <w:shd w:val="clear" w:color="auto" w:fill="auto"/>
            <w:tcW w:w="537" w:type="pct"/>
            <w:textDirection w:val="lrTb"/>
            <w:noWrap w:val="false"/>
          </w:tcPr>
          <w:p>
            <w:pPr>
              <w:jc w:val="center"/>
              <w:spacing w:before="100" w:beforeAutospacing="1"/>
              <w:rPr>
                <w:sz w:val="18"/>
                <w:szCs w:val="18"/>
                <w:lang w:val="en-US" w:bidi="en-US"/>
              </w:rPr>
            </w:pPr>
            <w:r>
              <w:rPr>
                <w:sz w:val="18"/>
                <w:szCs w:val="18"/>
                <w:lang w:val="en-US" w:bidi="en-US"/>
              </w:rPr>
              <w:t xml:space="preserve">-</w:t>
            </w:r>
            <w:r>
              <w:rPr>
                <w:sz w:val="18"/>
                <w:szCs w:val="18"/>
                <w:lang w:val="en-US" w:bidi="en-US"/>
              </w:rPr>
            </w:r>
          </w:p>
        </w:tc>
      </w:tr>
    </w:tbl>
    <w:p>
      <w:r/>
      <w:r/>
    </w:p>
    <w:p>
      <w:pPr>
        <w:jc w:val="right"/>
        <w:spacing w:line="276" w:lineRule="auto"/>
      </w:pPr>
      <w:r>
        <w:br w:type="page" w:clear="all"/>
      </w:r>
      <w:r>
        <w:t xml:space="preserve">Приложение</w:t>
      </w:r>
      <w:r>
        <w:t xml:space="preserve"> А</w:t>
      </w:r>
      <w:r/>
    </w:p>
    <w:p>
      <w:pPr>
        <w:jc w:val="right"/>
        <w:spacing w:line="276" w:lineRule="auto"/>
      </w:pPr>
      <w:r/>
      <w:r/>
    </w:p>
    <w:p>
      <w:pPr>
        <w:jc w:val="center"/>
      </w:pPr>
      <w:r>
        <w:t xml:space="preserve">Количественные и качественные характеристики </w:t>
      </w:r>
      <w:r>
        <w:t xml:space="preserve">лесных</w:t>
      </w:r>
      <w:r>
        <w:t xml:space="preserve"> участков</w:t>
      </w:r>
      <w:r/>
    </w:p>
    <w:p>
      <w:pPr>
        <w:jc w:val="center"/>
      </w:pPr>
      <w:r/>
      <w:r/>
    </w:p>
    <w:p>
      <w:pPr>
        <w:jc w:val="center"/>
      </w:pPr>
      <w:r>
        <w:t xml:space="preserve">Схема расположения и границы </w:t>
      </w:r>
      <w:r>
        <w:t xml:space="preserve">лесного</w:t>
      </w:r>
      <w:r>
        <w:t xml:space="preserve"> участка</w:t>
      </w:r>
      <w:r>
        <w:t xml:space="preserve"> (начало)</w:t>
      </w:r>
      <w:r/>
    </w:p>
    <w:p>
      <w:pPr>
        <w:jc w:val="center"/>
      </w:pPr>
      <w:r>
        <w:t xml:space="preserve">линейные объекты</w:t>
      </w:r>
      <w:r/>
    </w:p>
    <w:p>
      <w:pPr>
        <w:jc w:val="center"/>
      </w:pPr>
      <w:r/>
      <w:r/>
    </w:p>
    <w:p>
      <w:pPr>
        <w:ind w:left="284" w:firstLine="283"/>
        <w:rPr>
          <w:color w:val="000000"/>
        </w:rPr>
      </w:pPr>
      <w:r>
        <w:rPr>
          <w:color w:val="000000"/>
        </w:rPr>
        <w:t xml:space="preserve">Лесничество: Кондинское</w:t>
      </w:r>
      <w:r>
        <w:rPr>
          <w:color w:val="000000"/>
        </w:rPr>
      </w:r>
    </w:p>
    <w:p>
      <w:pPr>
        <w:ind w:left="284" w:firstLine="283"/>
        <w:rPr>
          <w:color w:val="000000"/>
        </w:rPr>
      </w:pPr>
      <w:r>
        <w:rPr>
          <w:color w:val="000000"/>
        </w:rPr>
        <w:t xml:space="preserve">Участковое лесничество: </w:t>
      </w:r>
      <w:r>
        <w:rPr>
          <w:color w:val="000000"/>
        </w:rPr>
        <w:t xml:space="preserve">Болчаровское</w:t>
      </w:r>
      <w:r>
        <w:rPr>
          <w:color w:val="000000"/>
        </w:rPr>
      </w:r>
    </w:p>
    <w:p>
      <w:pPr>
        <w:ind w:left="284" w:firstLine="283"/>
        <w:rPr>
          <w:color w:val="000000"/>
        </w:rPr>
      </w:pPr>
      <w:r>
        <w:rPr>
          <w:color w:val="000000"/>
        </w:rPr>
        <w:t xml:space="preserve">Урочище: </w:t>
      </w:r>
      <w:r>
        <w:rPr>
          <w:color w:val="000000"/>
        </w:rPr>
        <w:t xml:space="preserve">Болчаровское</w:t>
      </w:r>
      <w:r>
        <w:rPr>
          <w:color w:val="000000"/>
        </w:rPr>
        <w:t xml:space="preserve">/Пойменное</w:t>
      </w:r>
      <w:r>
        <w:rPr>
          <w:color w:val="000000"/>
        </w:rPr>
      </w:r>
    </w:p>
    <w:p>
      <w:pPr>
        <w:ind w:left="284" w:firstLine="283"/>
        <w:rPr>
          <w:color w:val="000000"/>
        </w:rPr>
      </w:pPr>
      <w:r>
        <w:rPr>
          <w:color w:val="000000"/>
        </w:rPr>
        <w:t xml:space="preserve">Площадь </w:t>
      </w:r>
      <w:r>
        <w:rPr>
          <w:color w:val="000000"/>
        </w:rPr>
        <w:t xml:space="preserve">-</w:t>
      </w:r>
      <w:r>
        <w:rPr>
          <w:color w:val="000000"/>
        </w:rPr>
        <w:t xml:space="preserve"> 27,9979 га</w:t>
      </w:r>
      <w:r>
        <w:rPr>
          <w:color w:val="000000"/>
        </w:rPr>
      </w:r>
    </w:p>
    <w:p>
      <w:pPr>
        <w:ind w:left="284" w:firstLine="283"/>
        <w:rPr>
          <w:color w:val="000000"/>
        </w:rPr>
      </w:pPr>
      <w:r>
        <w:rPr>
          <w:color w:val="000000"/>
        </w:rPr>
        <w:t xml:space="preserve">Масштаб 1:20000</w:t>
      </w:r>
      <w:r>
        <w:rPr>
          <w:color w:val="000000"/>
        </w:rPr>
      </w:r>
    </w:p>
    <w:p>
      <w:pPr>
        <w:ind w:left="284" w:firstLine="283"/>
        <w:rPr>
          <w:color w:val="00000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margin">
                  <wp:posOffset>2306320</wp:posOffset>
                </wp:positionV>
                <wp:extent cx="5930265" cy="6975475"/>
                <wp:effectExtent l="0" t="0" r="0" b="0"/>
                <wp:wrapNone/>
                <wp:docPr id="5" name="Рисунок 6" descr="Описание: планшет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 descr="Описание: планшет_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30265" cy="697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65408;o:allowoverlap:true;o:allowincell:true;mso-position-horizontal-relative:page;margin-left:98.10pt;mso-position-horizontal:absolute;mso-position-vertical-relative:margin;margin-top:181.60pt;mso-position-vertical:absolute;width:466.95pt;height:549.25pt;mso-wrap-distance-left:9.00pt;mso-wrap-distance-top:0.00pt;mso-wrap-distance-right:9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color w:val="000000"/>
        </w:rPr>
      </w:r>
    </w:p>
    <w:p>
      <w:pPr>
        <w:jc w:val="center"/>
        <w:spacing w:after="200"/>
      </w:pPr>
      <w:r/>
      <w:r/>
    </w:p>
    <w:p>
      <w:pPr>
        <w:jc w:val="right"/>
        <w:rPr>
          <w:color w:val="000000"/>
        </w:rPr>
      </w:pPr>
      <w:r>
        <w:br w:type="page" w:clear="all"/>
      </w:r>
      <w:r>
        <w:rPr>
          <w:color w:val="000000"/>
        </w:rPr>
        <w:t xml:space="preserve">Продолжение приложения А</w:t>
      </w:r>
      <w:r>
        <w:rPr>
          <w:color w:val="000000"/>
        </w:rPr>
      </w:r>
    </w:p>
    <w:p>
      <w:pPr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jc w:val="center"/>
        <w:spacing w:line="276" w:lineRule="auto"/>
      </w:pPr>
      <w:r>
        <w:t xml:space="preserve">Схема расположения и границы </w:t>
      </w:r>
      <w:r>
        <w:t xml:space="preserve">лесного</w:t>
      </w:r>
      <w:r>
        <w:t xml:space="preserve"> участка</w:t>
      </w:r>
      <w:r/>
    </w:p>
    <w:p>
      <w:pPr>
        <w:jc w:val="center"/>
        <w:spacing w:line="276" w:lineRule="auto"/>
      </w:pPr>
      <w:r/>
      <w:r/>
    </w:p>
    <w:p>
      <w:pPr>
        <w:pStyle w:val="956"/>
      </w:pPr>
      <w:r>
        <w:t xml:space="preserve">Лесничество: Кондинское</w:t>
      </w:r>
      <w:r/>
    </w:p>
    <w:p>
      <w:pPr>
        <w:pStyle w:val="956"/>
      </w:pPr>
      <w:r>
        <w:t xml:space="preserve">Участковое лесничество: </w:t>
      </w:r>
      <w:r>
        <w:t xml:space="preserve">Болчаровское</w:t>
      </w:r>
      <w:r/>
    </w:p>
    <w:p>
      <w:pPr>
        <w:pStyle w:val="956"/>
      </w:pPr>
      <w:r>
        <w:t xml:space="preserve">Урочище: </w:t>
      </w:r>
      <w:r>
        <w:t xml:space="preserve">Болчаровское</w:t>
      </w:r>
      <w:r/>
    </w:p>
    <w:p>
      <w:pPr>
        <w:pStyle w:val="956"/>
      </w:pPr>
      <w:r>
        <w:t xml:space="preserve">Площадь </w:t>
      </w:r>
      <w:r>
        <w:t xml:space="preserve">-</w:t>
      </w:r>
      <w:r>
        <w:t xml:space="preserve"> 27,9979 га</w:t>
      </w:r>
      <w:r/>
    </w:p>
    <w:p>
      <w:pPr>
        <w:pStyle w:val="956"/>
      </w:pPr>
      <w:r>
        <w:t xml:space="preserve">Масштаб 1:5000</w:t>
      </w:r>
      <w:r/>
    </w:p>
    <w:p>
      <w:pPr>
        <w:spacing w:after="200" w:line="276" w:lineRule="auto"/>
      </w:pPr>
      <w:r/>
      <w:r/>
    </w:p>
    <w:p>
      <w:pPr>
        <w:jc w:val="center"/>
        <w:spacing w:after="200" w:line="276" w:lineRule="auto"/>
      </w:pPr>
      <w:r>
        <w:t xml:space="preserve">Контур 1</w:t>
      </w:r>
      <w:r/>
    </w:p>
    <w:p>
      <w:pPr>
        <w:jc w:val="right"/>
        <w:spacing w:after="200" w:line="276" w:lineRule="auto"/>
        <w:rPr>
          <w:color w:val="000000"/>
        </w:rPr>
      </w:pPr>
      <w:r>
        <w:rPr>
          <w:rFonts w:ascii="Arial" w:hAnsi="Arial" w:cs="Arial"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05325" cy="4676775"/>
                <wp:effectExtent l="0" t="0" r="9525" b="9525"/>
                <wp:docPr id="6" name="Рисунок 21" descr="Описание: C:\Users\AFKhabirova\AppData\Local\Microsoft\Windows\INetCache\Content.Word\1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 descr="Описание: C:\Users\AFKhabirova\AppData\Local\Microsoft\Windows\INetCache\Content.Word\1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505325" cy="467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54.75pt;height:368.2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br w:type="page" w:clear="all"/>
      </w:r>
      <w:r>
        <w:rPr>
          <w:color w:val="000000"/>
        </w:rPr>
        <w:t xml:space="preserve">Продолжение приложения А</w:t>
      </w:r>
      <w:r>
        <w:rPr>
          <w:color w:val="000000"/>
        </w:rPr>
      </w:r>
    </w:p>
    <w:p>
      <w:pPr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jc w:val="center"/>
        <w:spacing w:line="276" w:lineRule="auto"/>
      </w:pPr>
      <w:r>
        <w:t xml:space="preserve">Схема расположения и границы </w:t>
      </w:r>
      <w:r>
        <w:t xml:space="preserve">лесного</w:t>
      </w:r>
      <w:r>
        <w:t xml:space="preserve"> участка</w:t>
      </w:r>
      <w:r/>
    </w:p>
    <w:p>
      <w:pPr>
        <w:jc w:val="center"/>
        <w:spacing w:line="276" w:lineRule="auto"/>
      </w:pPr>
      <w:r/>
      <w:r/>
    </w:p>
    <w:p>
      <w:pPr>
        <w:pStyle w:val="956"/>
      </w:pPr>
      <w:r>
        <w:t xml:space="preserve">Лесничество: Кондинское</w:t>
      </w:r>
      <w:r/>
    </w:p>
    <w:p>
      <w:pPr>
        <w:pStyle w:val="956"/>
      </w:pPr>
      <w:r>
        <w:t xml:space="preserve">Участковое лесничество: </w:t>
      </w:r>
      <w:r>
        <w:t xml:space="preserve">Болчаровское</w:t>
      </w:r>
      <w:r/>
    </w:p>
    <w:p>
      <w:pPr>
        <w:pStyle w:val="956"/>
      </w:pPr>
      <w:r>
        <w:t xml:space="preserve">Урочище: </w:t>
      </w:r>
      <w:r>
        <w:t xml:space="preserve">Болчаровское</w:t>
      </w:r>
      <w:r/>
    </w:p>
    <w:p>
      <w:pPr>
        <w:pStyle w:val="956"/>
      </w:pPr>
      <w:r>
        <w:t xml:space="preserve">Площадь -</w:t>
      </w:r>
      <w:r>
        <w:t xml:space="preserve"> 27,9979 га</w:t>
      </w:r>
      <w:r/>
    </w:p>
    <w:p>
      <w:pPr>
        <w:pStyle w:val="956"/>
      </w:pPr>
      <w:r>
        <w:t xml:space="preserve">Масштаб 1:5000</w:t>
      </w:r>
      <w:r/>
    </w:p>
    <w:p>
      <w:pPr>
        <w:jc w:val="center"/>
        <w:spacing w:after="200" w:line="276" w:lineRule="auto"/>
      </w:pPr>
      <w:r>
        <w:t xml:space="preserve">Контур 2</w:t>
      </w:r>
      <w:r/>
    </w:p>
    <w:p>
      <w:pPr>
        <w:jc w:val="right"/>
        <w:rPr>
          <w:color w:val="000000"/>
        </w:rPr>
      </w:pPr>
      <w:r>
        <w:rPr>
          <w:rFonts w:ascii="Arial" w:hAnsi="Arial" w:cs="Arial"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91050" cy="2257425"/>
                <wp:effectExtent l="0" t="0" r="0" b="9525"/>
                <wp:docPr id="7" name="Рисунок 24" descr="Описание: 2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4" descr="Описание: 2_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59105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1.50pt;height:177.7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Arial" w:hAnsi="Arial" w:cs="Arial"/>
        </w:rPr>
        <w:br w:type="page" w:clear="all"/>
      </w:r>
      <w:r>
        <w:rPr>
          <w:color w:val="000000"/>
        </w:rPr>
        <w:t xml:space="preserve">Продолжение приложения А</w:t>
      </w:r>
      <w:r>
        <w:rPr>
          <w:color w:val="000000"/>
        </w:rPr>
      </w:r>
    </w:p>
    <w:p>
      <w:pPr>
        <w:jc w:val="right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jc w:val="center"/>
      </w:pPr>
      <w:r>
        <w:t xml:space="preserve">Схема расположения и границы </w:t>
      </w:r>
      <w:r>
        <w:t xml:space="preserve">лесного</w:t>
      </w:r>
      <w:r>
        <w:t xml:space="preserve"> участка</w:t>
      </w:r>
      <w:r/>
    </w:p>
    <w:p>
      <w:pPr>
        <w:jc w:val="center"/>
        <w:spacing w:line="276" w:lineRule="auto"/>
      </w:pPr>
      <w:r/>
      <w:r/>
    </w:p>
    <w:p>
      <w:pPr>
        <w:pStyle w:val="956"/>
      </w:pPr>
      <w:r>
        <w:t xml:space="preserve">Лесничество: Кондинское</w:t>
      </w:r>
      <w:r/>
    </w:p>
    <w:p>
      <w:pPr>
        <w:pStyle w:val="956"/>
      </w:pPr>
      <w:r>
        <w:t xml:space="preserve">Участковое лесничество: </w:t>
      </w:r>
      <w:r>
        <w:t xml:space="preserve">Болчаровское</w:t>
      </w:r>
      <w:r/>
    </w:p>
    <w:p>
      <w:pPr>
        <w:pStyle w:val="956"/>
      </w:pPr>
      <w:r>
        <w:t xml:space="preserve">Урочище: </w:t>
      </w:r>
      <w:r>
        <w:t xml:space="preserve">Болчаровское</w:t>
      </w:r>
      <w:r/>
    </w:p>
    <w:p>
      <w:pPr>
        <w:pStyle w:val="956"/>
      </w:pPr>
      <w:r>
        <w:t xml:space="preserve">Площадь – 27,9979 га</w:t>
      </w:r>
      <w:r/>
    </w:p>
    <w:p>
      <w:pPr>
        <w:pStyle w:val="956"/>
      </w:pPr>
      <w:r>
        <w:t xml:space="preserve">Масштаб 1:5000</w:t>
      </w:r>
      <w:r/>
    </w:p>
    <w:p>
      <w:pPr>
        <w:jc w:val="center"/>
        <w:spacing w:after="200" w:line="276" w:lineRule="auto"/>
      </w:pPr>
      <w:r>
        <w:t xml:space="preserve">Контур 3</w:t>
      </w:r>
      <w:r/>
    </w:p>
    <w:p>
      <w:pPr>
        <w:jc w:val="right"/>
        <w:spacing w:after="200" w:line="276" w:lineRule="auto"/>
        <w:rPr>
          <w:color w:val="000000"/>
        </w:rPr>
      </w:pPr>
      <w:r>
        <w:rPr>
          <w:rFonts w:ascii="Arial" w:hAnsi="Arial" w:cs="Arial"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4467225"/>
                <wp:effectExtent l="0" t="0" r="0" b="9525"/>
                <wp:docPr id="8" name="Рисунок 25" descr="Описание: 3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5" descr="Описание: 3_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715000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50.00pt;height:351.7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  <w:lang w:eastAsia="en-US" w:bidi="en-US"/>
        </w:rPr>
        <w:br w:type="page" w:clear="all"/>
      </w:r>
      <w:r>
        <w:rPr>
          <w:color w:val="000000"/>
        </w:rPr>
        <w:t xml:space="preserve">Продолжение приложения А</w:t>
      </w:r>
      <w:r>
        <w:rPr>
          <w:color w:val="000000"/>
        </w:rPr>
      </w:r>
    </w:p>
    <w:p>
      <w:pPr>
        <w:jc w:val="right"/>
        <w:spacing w:after="200" w:line="276" w:lineRule="auto"/>
      </w:pPr>
      <w:r>
        <w:t xml:space="preserve">Таблица </w:t>
      </w:r>
      <w:r>
        <w:t xml:space="preserve">16</w:t>
      </w:r>
      <w:r/>
    </w:p>
    <w:p>
      <w:pPr>
        <w:jc w:val="center"/>
        <w:spacing w:after="200" w:line="276" w:lineRule="auto"/>
      </w:pPr>
      <w:r>
        <w:t xml:space="preserve">Координаты характерных точек земельных участков</w:t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105"/>
        <w:gridCol w:w="1685"/>
        <w:gridCol w:w="2241"/>
        <w:gridCol w:w="1224"/>
        <w:gridCol w:w="1882"/>
        <w:gridCol w:w="1717"/>
      </w:tblGrid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Точка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Ориентир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Румбы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Длина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X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Y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gridSpan w:val="6"/>
            <w:shd w:val="clear" w:color="auto" w:fill="auto"/>
            <w:tcW w:w="5000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Контур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 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19° 25,8'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277,26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874 008,16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2 664 073,17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58° 55,5'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45,28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874 269,63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2 664 165,40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70° 26,8'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107,20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874 293,00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2 664 204,18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18° 27,2'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19,30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874 257,12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2 664 305,20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21° 9,6'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11,77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874 275,43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2 664 311,31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27° 14,9'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11,99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874 286,41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2 664 315,56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34° 18,6'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12,05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874 297,07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2 664 321,05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37° 14,0'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874 307,02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2 664 327,84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42° 21,6'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874 316,56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2 664 335,09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47° 24,3'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874 325,41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2 664 343,16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52° 27,6'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874 333,51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2 664 351,97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57° 35,0'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874 340,81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2 664 361,47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62° 39,0'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11,75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874 347,23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2 664 371,58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65° 12,0'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71,57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874 352,63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2 664 382,02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62° 54,0'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9,57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874 382,65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2 664 446,99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58° 10,6'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9,37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874 387,01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2 664 455,51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53° 34,3'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9,35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874 391,95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2 664 463,47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48° 51,3'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9,36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874 397,50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2 664 470,99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43° 2,7'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12,44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874 403,66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2 664 478,04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53° 30,5'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42,78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874 412,75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2 664 486,53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36° 29,0'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38,58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874 438,19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2 664 452,14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89° 49,6'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3,31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874 469,21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2 664 475,08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78° 38,8'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2,59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874 469,22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2 664 478,39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78° 32,9'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24,63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874 468,71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2 664 480,93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74° 16,3'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1,81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874 463,82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2 664 505,07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74° 18,3'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5,36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874 463,33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2 664 506,81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36° 29,3'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20,45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874 461,88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2 664 511,97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53° 20,2'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9,46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874 445,44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2 664 499,81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37° 12,1'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24,18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874 439,79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2 664 507,40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74° 17,2'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10,19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874 459,05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2 664 522,02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66° 29,3'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10,83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874 456,29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2 664 531,83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37° 13,1'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30,29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874 451,97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2 664 541,76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50° 28,9'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8,96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874 427,85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2 664 523,44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38° 6,9'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32,97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874 422,15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2 664 530,35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66° 29,4'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14,94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874 448,09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2 664 550,70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65° 53,8'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41,97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874 442,13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2 664 564,40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7° 18,1'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23,29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874 459,27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2 664 602,71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2° 5,3'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18,66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874 482,37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2 664 599,75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22° 43,9'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24,35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874 501,02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2 664 600,43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70° 11,9'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38,43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874 523,48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2 664 609,84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72° 6,3'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25,19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874 536,50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2 664 646,00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20,0'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108,36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874 544,24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2 664 669,97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7,0'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53,87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874 459,24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2 664 602,76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</w:tbl>
    <w:p>
      <w:pPr>
        <w:jc w:val="right"/>
        <w:rPr>
          <w:b/>
          <w:color w:val="000000"/>
        </w:rPr>
      </w:pPr>
      <w:r>
        <w:rPr>
          <w:b/>
          <w:color w:val="000000"/>
        </w:rPr>
      </w:r>
      <w:r>
        <w:rPr>
          <w:b/>
          <w:color w:val="000000"/>
        </w:rPr>
      </w:r>
    </w:p>
    <w:p>
      <w:pPr>
        <w:jc w:val="right"/>
        <w:rPr>
          <w:color w:val="000000"/>
        </w:rPr>
      </w:pPr>
      <w:r>
        <w:rPr>
          <w:color w:val="000000"/>
        </w:rPr>
        <w:t xml:space="preserve">Продолжение приложения</w:t>
      </w:r>
      <w:r>
        <w:rPr>
          <w:color w:val="000000"/>
        </w:rPr>
        <w:t xml:space="preserve"> А</w:t>
      </w:r>
      <w:r>
        <w:rPr>
          <w:color w:val="000000"/>
        </w:rPr>
      </w:r>
    </w:p>
    <w:p>
      <w:pPr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105"/>
        <w:gridCol w:w="1685"/>
        <w:gridCol w:w="2241"/>
        <w:gridCol w:w="1224"/>
        <w:gridCol w:w="1882"/>
        <w:gridCol w:w="1717"/>
      </w:tblGrid>
      <w:tr>
        <w:tblPrEx/>
        <w:trPr>
          <w:trHeight w:val="68"/>
        </w:trPr>
        <w:tc>
          <w:tcPr>
            <w:gridSpan w:val="6"/>
            <w:shd w:val="clear" w:color="auto" w:fill="auto"/>
            <w:tcW w:w="5000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Продолжение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таблицы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bidi="en-US"/>
              </w:rPr>
              <w:t xml:space="preserve">16</w:t>
            </w:r>
            <w:r>
              <w:rPr>
                <w:color w:val="000000"/>
                <w:sz w:val="20"/>
                <w:szCs w:val="20"/>
                <w:lang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Точка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Ориентир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Румбы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Длина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X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Y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22° 57,8'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168,50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874 416,86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2 664 569,51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20° 11,3'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150,07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874 261,71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2 664 635,25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37° 44,3'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50,40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874 120,86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2 664 583,46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19° 25,7'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122,06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874 081,00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2 664 614,31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62° 56,6'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92,89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873 965,89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2 664 573,71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70° 32,7'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222,95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873 923,64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2 664 490,99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19° 24,6'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62,80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873 997,90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2 664 280,77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66° 15,9'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41,22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873 938,67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2 664 259,90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70° 34,0'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141,63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873 922,08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2 664 222,17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21° 37,1'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41,91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873 969,20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2 664 088,61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gridSpan w:val="6"/>
            <w:shd w:val="clear" w:color="auto" w:fill="auto"/>
            <w:tcW w:w="5000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sz w:val="20"/>
                <w:szCs w:val="20"/>
                <w:lang w:val="en-US" w:bidi="en-US"/>
              </w:rPr>
              <w:br w:type="page" w:clear="all"/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Контур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 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66° 35,0'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2,77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874 825,68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2 664 849,22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67° 3,0'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5,74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874 826,78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2 664 851,76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68° 39,5'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11,35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874 829,02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2 664 857,05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69° 41,5'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633,25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874 833,15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2 664 867,62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50° 41,6'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28,08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875 052,94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2 665 461,50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16° 3,8'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16,59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875 035,15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2 665 439,77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16° 11,4'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0,65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875 019,21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2 665 435,18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13° 17,3'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2,04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875 018,59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2 665 435,00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13° 16,2'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14,33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875 016,60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2 665 434,53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13° 17,8'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17,30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875 002,65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2 665 431,24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44° 12,3'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12,74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874 985,81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2 665 427,26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44° 10,9'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12,37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874 976,68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2 665 418,38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41° 14,1'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40,05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874 967,81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2 665 409,76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37° 52,4'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21,03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874 937,69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2 665 383,36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69° 49,1'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3,22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874 921,09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2 665 370,45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69° 50,5'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374,40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874 919,98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2 665 367,43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68° 30,1'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4,20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874 790,96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2 665 015,96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80° 39,0'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52,45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874 792,50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2 665 012,05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89° 57,3'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25,67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874 801,02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2 664 960,30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89° 56,6'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20,09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874 801,04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2 664 934,63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69° 31,4'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20,24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874 801,06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2 664 914,54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69° 30,4'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14,00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874 808,14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2 664 895,58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69° 30,6'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27,08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874 813,04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2 664 882,47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68° 8,9'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8,49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874 822,52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2 664 857,10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gridSpan w:val="6"/>
            <w:shd w:val="clear" w:color="auto" w:fill="auto"/>
            <w:tcW w:w="5000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Контур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 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69° 50,0'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448,11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875 062,08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2 665 486,94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39° 43,3'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29,90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875 216,57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2 665 907,58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38° 29,0'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34,02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875 239,57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2 665 926,69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38° 31,3'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60,79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875 266,20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2 665 947,86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40° 36,1'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0,09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875 313,76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2 665 985,72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СВ: 38° 30,4'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330,73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875 313,83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2 665 985,78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33° 23,8'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25,52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875 572,64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2 666 191,69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33° 23,6'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6,43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875 551,33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2 666 205,74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</w:tbl>
    <w:p>
      <w:pPr>
        <w:jc w:val="right"/>
        <w:rPr>
          <w:b/>
          <w:color w:val="000000"/>
        </w:rPr>
      </w:pPr>
      <w:r>
        <w:rPr>
          <w:b/>
          <w:color w:val="000000"/>
        </w:rPr>
      </w:r>
      <w:r>
        <w:rPr>
          <w:b/>
          <w:color w:val="000000"/>
        </w:rPr>
      </w:r>
    </w:p>
    <w:p>
      <w:pPr>
        <w:jc w:val="right"/>
        <w:rPr>
          <w:color w:val="000000"/>
        </w:rPr>
      </w:pPr>
      <w:r>
        <w:rPr>
          <w:color w:val="000000"/>
        </w:rPr>
        <w:t xml:space="preserve">Окончание приложения</w:t>
      </w:r>
      <w:r>
        <w:rPr>
          <w:color w:val="000000"/>
        </w:rPr>
        <w:t xml:space="preserve"> А</w:t>
      </w:r>
      <w:r>
        <w:rPr>
          <w:color w:val="000000"/>
        </w:rPr>
      </w:r>
    </w:p>
    <w:p>
      <w:pPr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105"/>
        <w:gridCol w:w="1685"/>
        <w:gridCol w:w="2241"/>
        <w:gridCol w:w="1224"/>
        <w:gridCol w:w="1882"/>
        <w:gridCol w:w="1717"/>
      </w:tblGrid>
      <w:tr>
        <w:tblPrEx/>
        <w:trPr>
          <w:trHeight w:val="68"/>
        </w:trPr>
        <w:tc>
          <w:tcPr>
            <w:gridSpan w:val="6"/>
            <w:shd w:val="clear" w:color="auto" w:fill="auto"/>
            <w:tcW w:w="5000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Окончание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таблицы</w:t>
            </w:r>
            <w:r>
              <w:rPr>
                <w:color w:val="000000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bidi="en-US"/>
              </w:rPr>
              <w:t xml:space="preserve">16</w:t>
            </w:r>
            <w:r>
              <w:rPr>
                <w:color w:val="000000"/>
                <w:sz w:val="20"/>
                <w:szCs w:val="20"/>
                <w:lang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Точка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Ориентир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Румбы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Длина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X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Y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33° 23,2'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21,01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875 545,96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2 666 209,28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33° 23,7'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27,94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875 528,42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2 666 220,84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47° 17,2'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8,15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875 505,09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2 666 236,22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42,9'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118,33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875 499,56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2 666 242,21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86° 21,5'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11,49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875 407,23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2 666 168,20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52,7'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204,71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875 406,50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2 666 156,73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ЮВ: 50° 43,2'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9,08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875 247,14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2 666 028,24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41,3'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15,53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875 241,39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2 666 035,27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43,0'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30,14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875 229,26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2 666 025,56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43,0'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30,27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875 205,75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2 666 006,71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43,0'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30,14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875 182,14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2 665 987,78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38° 42,7'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32,41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875 158,62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2 665 968,93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69° 50,6'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247,98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875 133,33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2 665 948,66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99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69° 50,4'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36,96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875 047,88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2 665 715,87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58° 39,7'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11,29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875 035,14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2 665 681,17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87° 8,9'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8,44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875 041,01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2 665 671,53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70° 59,6'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33,59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875 041,43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2 665 663,10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70° 0,6'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27,03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875 030,49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2 665 631,34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ЮЗ: 65° 49,0'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23,36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875 021,25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2 665 605,94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79° 44,7'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16,63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875 011,68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2 665 584,63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63° 39,6'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20,49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875 014,64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2 665 568,27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107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34° 51,3'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0,68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875 023,73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2 665 549,91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34° 56,9'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14,91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875 024,29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2 665 549,52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35° 1,5'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5,84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875 036,51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2 665 540,98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35° 0,7'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2,41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875 041,29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2 665 537,63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111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38° 55,1'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10,74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875 043,26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2 665 536,25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38° 55,7'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11,36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875 051,62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2 665 529,50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  <w:tr>
        <w:tblPrEx/>
        <w:trPr>
          <w:trHeight w:val="68"/>
        </w:trPr>
        <w:tc>
          <w:tcPr>
            <w:shd w:val="clear" w:color="auto" w:fill="auto"/>
            <w:tcW w:w="56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113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78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1137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СЗ: 87° 22,9'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62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35,46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955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875 060,46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  <w:tc>
          <w:tcPr>
            <w:shd w:val="clear" w:color="auto" w:fill="auto"/>
            <w:tcW w:w="871" w:type="pct"/>
            <w:textDirection w:val="lrTb"/>
            <w:noWrap/>
          </w:tcPr>
          <w:p>
            <w:pPr>
              <w:ind w:left="28" w:right="28"/>
              <w:jc w:val="center"/>
              <w:rPr>
                <w:color w:val="000000"/>
                <w:sz w:val="20"/>
                <w:szCs w:val="20"/>
                <w:lang w:val="en-US" w:bidi="en-US"/>
              </w:rPr>
            </w:pPr>
            <w:r>
              <w:rPr>
                <w:color w:val="000000"/>
                <w:sz w:val="20"/>
                <w:szCs w:val="20"/>
                <w:lang w:val="en-US" w:bidi="en-US"/>
              </w:rPr>
              <w:t xml:space="preserve">2 665 522,36</w:t>
            </w:r>
            <w:r>
              <w:rPr>
                <w:color w:val="000000"/>
                <w:sz w:val="20"/>
                <w:szCs w:val="20"/>
                <w:lang w:val="en-US" w:bidi="en-US"/>
              </w:rPr>
            </w:r>
          </w:p>
        </w:tc>
      </w:tr>
    </w:tbl>
    <w:p>
      <w:pPr>
        <w:spacing w:after="200" w:line="276" w:lineRule="auto"/>
      </w:pPr>
      <w:r/>
      <w:r/>
    </w:p>
    <w:p>
      <w:pPr>
        <w:jc w:val="right"/>
      </w:pPr>
      <w:r/>
      <w:r/>
    </w:p>
    <w:p>
      <w:pPr>
        <w:jc w:val="right"/>
      </w:pPr>
      <w:r>
        <w:br w:type="page" w:clear="all"/>
      </w:r>
      <w:r>
        <w:t xml:space="preserve">Приложение</w:t>
      </w:r>
      <w:r>
        <w:t xml:space="preserve"> Б</w:t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30265" cy="8399145"/>
                <wp:effectExtent l="0" t="0" r="0" b="1905"/>
                <wp:wrapSquare wrapText="bothSides"/>
                <wp:docPr id="9" name="Рисунок 13" descr="Описание: Выписка № 209 от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3" descr="Описание: Выписка № 209 от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30265" cy="839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66432;o:allowoverlap:true;o:allowincell:true;mso-position-horizontal-relative:margin;mso-position-horizontal:center;mso-position-vertical-relative:margin;mso-position-vertical:center;width:466.95pt;height:661.35pt;mso-wrap-distance-left:9.00pt;mso-wrap-distance-top:0.00pt;mso-wrap-distance-right:9.00pt;mso-wrap-distance-bottom:0.00pt;" stroked="f">
                <v:path textboxrect="0,0,0,0"/>
                <w10:wrap type="square"/>
                <v:imagedata r:id="rId24" o:title=""/>
              </v:shape>
            </w:pict>
          </mc:Fallback>
        </mc:AlternateContent>
      </w:r>
      <w:r>
        <w:t xml:space="preserve">Выписка из государственного лесного реестра</w:t>
      </w:r>
      <w:r/>
    </w:p>
    <w:p>
      <w:pPr>
        <w:jc w:val="right"/>
      </w:pPr>
      <w:r>
        <w:br w:type="page" w:clear="all"/>
      </w:r>
      <w:r>
        <w:t xml:space="preserve">Продолжение </w:t>
      </w:r>
      <w:r>
        <w:t xml:space="preserve">п</w:t>
      </w:r>
      <w:r>
        <w:t xml:space="preserve">риложения</w:t>
      </w:r>
      <w:r>
        <w:t xml:space="preserve"> Б</w:t>
      </w:r>
      <w:r/>
    </w:p>
    <w:p>
      <w:pPr>
        <w:jc w:val="center"/>
      </w:pPr>
      <w:r/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30265" cy="8399145"/>
                <wp:effectExtent l="0" t="0" r="0" b="1905"/>
                <wp:wrapSquare wrapText="bothSides"/>
                <wp:docPr id="10" name="Рисунок 14" descr="Описание: Выписка № 209 от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" descr="Описание: Выписка № 209 от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30265" cy="839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67456;o:allowoverlap:true;o:allowincell:true;mso-position-horizontal-relative:margin;mso-position-horizontal:center;mso-position-vertical-relative:margin;mso-position-vertical:center;width:466.95pt;height:661.3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br w:type="page" w:clear="all"/>
      </w:r>
      <w:r>
        <w:t xml:space="preserve">Продолжение </w:t>
      </w:r>
      <w:r>
        <w:t xml:space="preserve">п</w:t>
      </w:r>
      <w:r>
        <w:t xml:space="preserve">риложения</w:t>
      </w:r>
      <w:r>
        <w:t xml:space="preserve"> Б</w:t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30265" cy="8399145"/>
                <wp:effectExtent l="0" t="0" r="0" b="1905"/>
                <wp:wrapSquare wrapText="bothSides"/>
                <wp:docPr id="11" name="Рисунок 18" descr="Описание: Выписка № 216 от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8" descr="Описание: Выписка № 216 от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30265" cy="839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68480;o:allowoverlap:true;o:allowincell:true;mso-position-horizontal-relative:margin;mso-position-horizontal:center;mso-position-vertical-relative:margin;mso-position-vertical:center;width:466.95pt;height:661.35pt;mso-wrap-distance-left:9.00pt;mso-wrap-distance-top:0.00pt;mso-wrap-distance-right:9.00pt;mso-wrap-distance-bottom:0.00pt;" stroked="f">
                <v:path textboxrect="0,0,0,0"/>
                <w10:wrap type="square"/>
                <v:imagedata r:id="rId26" o:title=""/>
              </v:shape>
            </w:pict>
          </mc:Fallback>
        </mc:AlternateContent>
      </w:r>
      <w:r/>
    </w:p>
    <w:p>
      <w:pPr>
        <w:jc w:val="right"/>
        <w:spacing w:after="160" w:line="259" w:lineRule="auto"/>
      </w:pPr>
      <w:r>
        <w:br w:type="page" w:clear="all"/>
      </w:r>
      <w:r>
        <w:t xml:space="preserve">Продолжение </w:t>
      </w:r>
      <w:r>
        <w:t xml:space="preserve">п</w:t>
      </w:r>
      <w:r>
        <w:t xml:space="preserve">риложения</w:t>
      </w:r>
      <w:r>
        <w:t xml:space="preserve"> Б</w:t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30265" cy="8399145"/>
                <wp:effectExtent l="0" t="0" r="0" b="1905"/>
                <wp:wrapSquare wrapText="bothSides"/>
                <wp:docPr id="12" name="Рисунок 19" descr="Описание: Выписка № 216 от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 descr="Описание: Выписка № 216 от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30265" cy="839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69504;o:allowoverlap:true;o:allowincell:true;mso-position-horizontal-relative:margin;mso-position-horizontal:center;mso-position-vertical-relative:margin;mso-position-vertical:center;width:466.95pt;height:661.35pt;mso-wrap-distance-left:9.00pt;mso-wrap-distance-top:0.00pt;mso-wrap-distance-right:9.00pt;mso-wrap-distance-bottom:0.00pt;" stroked="f">
                <v:path textboxrect="0,0,0,0"/>
                <w10:wrap type="square"/>
                <v:imagedata r:id="rId27" o:title=""/>
              </v:shape>
            </w:pict>
          </mc:Fallback>
        </mc:AlternateContent>
      </w:r>
      <w:r/>
    </w:p>
    <w:p>
      <w:pPr>
        <w:jc w:val="right"/>
      </w:pPr>
      <w:r>
        <w:br w:type="page" w:clear="all"/>
      </w:r>
      <w:r>
        <w:t xml:space="preserve">Окончание </w:t>
      </w:r>
      <w:r>
        <w:t xml:space="preserve">п</w:t>
      </w:r>
      <w:r>
        <w:t xml:space="preserve">риложения</w:t>
      </w:r>
      <w:r>
        <w:t xml:space="preserve"> Б</w:t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5930265" cy="8399145"/>
                <wp:effectExtent l="0" t="0" r="0" b="1905"/>
                <wp:wrapSquare wrapText="bothSides"/>
                <wp:docPr id="13" name="Рисунок 20" descr="Описание: Выписка № 216 от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 descr="Описание: Выписка № 216 от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30265" cy="839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70528;o:allowoverlap:true;o:allowincell:true;mso-position-horizontal-relative:page;mso-position-horizontal:center;mso-position-vertical-relative:margin;mso-position-vertical:center;width:466.95pt;height:661.35pt;mso-wrap-distance-left:9.00pt;mso-wrap-distance-top:0.00pt;mso-wrap-distance-right:9.00pt;mso-wrap-distance-bottom:0.00pt;" stroked="f">
                <v:path textboxrect="0,0,0,0"/>
                <w10:wrap type="square"/>
                <v:imagedata r:id="rId28" o:title=""/>
              </v:shape>
            </w:pict>
          </mc:Fallback>
        </mc:AlternateContent>
      </w:r>
      <w:r/>
    </w:p>
    <w:p>
      <w:pPr>
        <w:jc w:val="right"/>
        <w:sectPr>
          <w:footnotePr/>
          <w:endnotePr/>
          <w:type w:val="continuous"/>
          <w:pgSz w:w="11906" w:h="16838" w:orient="portrait"/>
          <w:pgMar w:top="1134" w:right="567" w:bottom="992" w:left="1701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749"/>
        <w:ind w:left="0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Основная часть проекта межевания территории. Графическая часть</w:t>
      </w:r>
      <w:r>
        <w:rPr>
          <w:rFonts w:ascii="Times New Roman" w:hAnsi="Times New Roman"/>
          <w:sz w:val="24"/>
          <w:szCs w:val="24"/>
        </w:rPr>
      </w:r>
    </w:p>
    <w:p>
      <w:pPr>
        <w:pStyle w:val="749"/>
        <w:ind w:left="0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</w:pPr>
      <w:r>
        <w:t xml:space="preserve">Чертеж межевания территории для размещения линейных объектов. Лист 1 </w:t>
      </w:r>
      <w:r/>
    </w:p>
    <w:p>
      <w:pPr>
        <w:jc w:val="center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99695</wp:posOffset>
                </wp:positionV>
                <wp:extent cx="6107430" cy="8646160"/>
                <wp:effectExtent l="0" t="0" r="7620" b="2540"/>
                <wp:wrapNone/>
                <wp:docPr id="14" name="Рисунок 12" descr="211028-П-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211028-П-5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07430" cy="864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-251672576;o:allowoverlap:true;o:allowincell:true;mso-position-horizontal-relative:text;margin-left:32.60pt;mso-position-horizontal:absolute;mso-position-vertical-relative:text;margin-top:7.85pt;mso-position-vertical:absolute;width:480.90pt;height:680.80pt;mso-wrap-distance-left:9.00pt;mso-wrap-distance-top:0.00pt;mso-wrap-distance-right:9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r/>
      <w:r/>
    </w:p>
    <w:p>
      <w:pPr>
        <w:sectPr>
          <w:footnotePr/>
          <w:endnotePr/>
          <w:type w:val="nextPage"/>
          <w:pgSz w:w="11906" w:h="16838" w:orient="portrait"/>
          <w:pgMar w:top="1134" w:right="284" w:bottom="1134" w:left="680" w:header="709" w:footer="709" w:gutter="0"/>
          <w:cols w:num="1" w:sep="0" w:space="708" w:equalWidth="1"/>
          <w:docGrid w:linePitch="360"/>
        </w:sectPr>
      </w:pPr>
      <w:r/>
      <w:r/>
    </w:p>
    <w:p>
      <w:pPr>
        <w:jc w:val="center"/>
      </w:pPr>
      <w:r>
        <w:t xml:space="preserve">Чертеж межевания территории для разм</w:t>
      </w:r>
      <w:r>
        <w:t xml:space="preserve">ещения линейных объектов. Лист 2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8639175"/>
                <wp:effectExtent l="0" t="0" r="9525" b="9525"/>
                <wp:docPr id="15" name="Рисунок 32" descr="211028-П-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211028-П-5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05525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80.75pt;height:680.2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r/>
      <w:r/>
    </w:p>
    <w:p>
      <w:pPr>
        <w:sectPr>
          <w:footnotePr/>
          <w:endnotePr/>
          <w:type w:val="nextPage"/>
          <w:pgSz w:w="11906" w:h="16838" w:orient="portrait"/>
          <w:pgMar w:top="1134" w:right="284" w:bottom="1134" w:left="680" w:header="709" w:footer="709" w:gutter="0"/>
          <w:cols w:num="1" w:sep="0" w:space="708" w:equalWidth="1"/>
          <w:docGrid w:linePitch="360"/>
        </w:sectPr>
      </w:pPr>
      <w:r/>
      <w:r/>
    </w:p>
    <w:p>
      <w:pPr>
        <w:jc w:val="center"/>
      </w:pPr>
      <w:r>
        <w:t xml:space="preserve">Чертеж межевания территории для разм</w:t>
      </w:r>
      <w:r>
        <w:t xml:space="preserve">ещения линейных объектов. Лист 3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8639175"/>
                <wp:effectExtent l="0" t="0" r="9525" b="9525"/>
                <wp:docPr id="16" name="Рисунок 69" descr="211028-П-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 descr="211028-П-5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05525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80.75pt;height:680.25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r/>
      <w:r/>
    </w:p>
    <w:p>
      <w:pPr>
        <w:pStyle w:val="725"/>
        <w:contextualSpacing/>
        <w:jc w:val="center"/>
        <w:rPr>
          <w:sz w:val="24"/>
        </w:rPr>
      </w:pPr>
      <w:r/>
      <w:bookmarkStart w:id="69" w:name="_Toc52540800"/>
      <w:r>
        <w:rPr>
          <w:sz w:val="24"/>
        </w:rPr>
        <w:t xml:space="preserve">3.1. </w:t>
      </w:r>
      <w:r>
        <w:rPr>
          <w:sz w:val="24"/>
        </w:rPr>
        <w:t xml:space="preserve">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</w:t>
      </w:r>
      <w:bookmarkEnd w:id="69"/>
      <w:r/>
      <w:r>
        <w:rPr>
          <w:sz w:val="24"/>
        </w:rPr>
      </w:r>
    </w:p>
    <w:p>
      <w:r/>
      <w:r/>
    </w:p>
    <w:p>
      <w:pPr>
        <w:pStyle w:val="956"/>
        <w:contextualSpacing/>
      </w:pPr>
      <w:r/>
      <w:bookmarkStart w:id="70" w:name="_Toc52540801"/>
      <w:r>
        <w:t xml:space="preserve">Материалы по обоснованию проекта межевания (согласовываемая часть документации) территории: «Обустройство Кондинского месторождения. Ку</w:t>
      </w:r>
      <w:r>
        <w:t xml:space="preserve">ст скв</w:t>
      </w:r>
      <w:r>
        <w:t xml:space="preserve">ажин 40 и коридоры коммуникаций» разработаны по заказу </w:t>
      </w:r>
      <w:r>
        <w:t xml:space="preserve">акционерного общества                                     </w:t>
      </w:r>
      <w:r>
        <w:t xml:space="preserve"> «НК «Конданефть» с целью обеспечения устойчивого развития территории, выделения элементов планировочной структуры, установления границ земельных участков, на которых расположены объекты капитального строительства и границ земельных участков,</w:t>
      </w:r>
      <w:r>
        <w:t xml:space="preserve"> предназначенных для строительства и размещения линейных объектов.</w:t>
      </w:r>
      <w:r/>
    </w:p>
    <w:p>
      <w:pPr>
        <w:pStyle w:val="956"/>
        <w:contextualSpacing/>
      </w:pPr>
      <w:r>
        <w:t xml:space="preserve">Документация разработана на основании задания на проектирование. Расположение на землях лесного фонда обусловлено строительством объектов нефтедобычи.</w:t>
      </w:r>
      <w:r/>
    </w:p>
    <w:p>
      <w:pPr>
        <w:pStyle w:val="956"/>
        <w:contextualSpacing/>
      </w:pPr>
      <w:r>
        <w:t xml:space="preserve">Основным критерием выбора про</w:t>
      </w:r>
      <w:r>
        <w:t xml:space="preserve">ектируемых трасс служили минимизация ущерба окружающей природной среде, обеспечение высокой эксплуатационной надежности, обеспечение безопасных нормативных расстояний от объектов площадки куста скважин. Трассы расположены вдали от объектов инфраструктуры, </w:t>
      </w:r>
      <w:r>
        <w:t xml:space="preserve">опасных</w:t>
      </w:r>
      <w:r>
        <w:t xml:space="preserve"> участков по трассе нет.</w:t>
      </w:r>
      <w:r/>
    </w:p>
    <w:p>
      <w:pPr>
        <w:pStyle w:val="956"/>
        <w:contextualSpacing/>
      </w:pPr>
      <w:r>
        <w:t xml:space="preserve">П</w:t>
      </w:r>
      <w:r>
        <w:t xml:space="preserve">p</w:t>
      </w:r>
      <w:r>
        <w:t xml:space="preserve">и</w:t>
      </w:r>
      <w:r>
        <w:t xml:space="preserve"> выбope </w:t>
      </w:r>
      <w:r>
        <w:t xml:space="preserve">тpacc</w:t>
      </w:r>
      <w:r>
        <w:t xml:space="preserve"> использовались материалы полевых инженерно-геологических изысканий, выполненные ООО «РН-</w:t>
      </w:r>
      <w:r>
        <w:t xml:space="preserve">БашНИПИнефть</w:t>
      </w:r>
      <w:r>
        <w:t xml:space="preserve">», учитывались инженерно-геологические условия района строительства, сложившаяся транспортная схема, применяемые методы производства строительно-монтажных работ, наличие существующих коридоров коммуникаций.</w:t>
      </w:r>
      <w:r/>
    </w:p>
    <w:p>
      <w:pPr>
        <w:pStyle w:val="956"/>
        <w:contextualSpacing/>
      </w:pPr>
      <w:r>
        <w:t xml:space="preserve">Документация по планировке территории</w:t>
      </w:r>
      <w:r>
        <w:t xml:space="preserve"> разработана с учетом следующих документов территориального планирования и градостроительного зонирования:</w:t>
      </w:r>
      <w:r/>
    </w:p>
    <w:p>
      <w:pPr>
        <w:pStyle w:val="956"/>
        <w:contextualSpacing/>
      </w:pPr>
      <w:r>
        <w:t xml:space="preserve">Схема территориального планирования Ханты-Мансийского автономного </w:t>
      </w:r>
      <w:r>
        <w:t xml:space="preserve">                   </w:t>
      </w:r>
      <w:r>
        <w:t xml:space="preserve">округа</w:t>
      </w:r>
      <w:r>
        <w:t xml:space="preserve"> – </w:t>
      </w:r>
      <w:r>
        <w:t xml:space="preserve">Югры.</w:t>
      </w:r>
      <w:r/>
    </w:p>
    <w:p>
      <w:pPr>
        <w:pStyle w:val="956"/>
        <w:contextualSpacing/>
      </w:pPr>
      <w:r>
        <w:t xml:space="preserve">Схема территориального </w:t>
      </w:r>
      <w:r>
        <w:t xml:space="preserve">планирования Кондинского района.</w:t>
      </w:r>
      <w:r/>
    </w:p>
    <w:p>
      <w:pPr>
        <w:pStyle w:val="956"/>
        <w:contextualSpacing/>
      </w:pPr>
      <w:r>
        <w:t xml:space="preserve">Правила землепользования и застройки межселенных территорий Кондинского района </w:t>
      </w:r>
      <w:r>
        <w:t xml:space="preserve">Ханты-Мансийского автономного округа – Югры</w:t>
      </w:r>
      <w:r>
        <w:t xml:space="preserve">.</w:t>
      </w:r>
      <w:r/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3.2. </w:t>
      </w:r>
      <w:r>
        <w:rPr>
          <w:sz w:val="24"/>
        </w:rPr>
        <w:t xml:space="preserve">Обоснование способа образования земельного участка</w:t>
      </w:r>
      <w:bookmarkEnd w:id="70"/>
      <w:r/>
      <w:r>
        <w:rPr>
          <w:sz w:val="24"/>
        </w:rPr>
      </w:r>
    </w:p>
    <w:p>
      <w:pPr>
        <w:pStyle w:val="956"/>
        <w:contextualSpacing/>
      </w:pPr>
      <w:r/>
      <w:bookmarkStart w:id="71" w:name="_Toc52540802"/>
      <w:r>
        <w:t xml:space="preserve">Общая площадь образуемых земельных участков, необходимых для строительства и размещения проектируемого объекта, составляет 38,5795 га (в том числе 4,5961 га из ранее предоставленных </w:t>
      </w:r>
      <w:r>
        <w:t xml:space="preserve">акционерным обществом</w:t>
      </w:r>
      <w:r>
        <w:t xml:space="preserve"> «НК «Конданефть»).</w:t>
      </w:r>
      <w:r/>
    </w:p>
    <w:p>
      <w:pPr>
        <w:pStyle w:val="956"/>
        <w:contextualSpacing/>
        <w:rPr>
          <w:color w:val="000000"/>
        </w:rPr>
      </w:pPr>
      <w:r>
        <w:rPr>
          <w:color w:val="000000"/>
        </w:rPr>
        <w:t xml:space="preserve">Образуемые земельные участки должны обеспечить:</w:t>
      </w:r>
      <w:r>
        <w:rPr>
          <w:color w:val="000000"/>
        </w:rPr>
      </w:r>
    </w:p>
    <w:p>
      <w:pPr>
        <w:pStyle w:val="956"/>
        <w:contextualSpacing/>
        <w:rPr>
          <w:color w:val="000000"/>
        </w:rPr>
      </w:pPr>
      <w:r>
        <w:rPr>
          <w:color w:val="000000"/>
        </w:rPr>
        <w:tab/>
        <w:t xml:space="preserve">возможность полноценной реализации права собственности на объе</w:t>
      </w:r>
      <w:r>
        <w:rPr>
          <w:color w:val="000000"/>
        </w:rPr>
        <w:t xml:space="preserve">кт недвижимого имущества, для которого формируется земельный участок, включая возможность полноценного использования этого имущества в соответствии с тем назначением, и теми эксплуатационными качествами, которые присущи этому имуществу на момент межевания;</w:t>
      </w:r>
      <w:r>
        <w:rPr>
          <w:color w:val="000000"/>
        </w:rPr>
      </w:r>
    </w:p>
    <w:p>
      <w:pPr>
        <w:pStyle w:val="956"/>
        <w:contextualSpacing/>
        <w:rPr>
          <w:color w:val="000000"/>
        </w:rPr>
      </w:pPr>
      <w:r>
        <w:rPr>
          <w:color w:val="000000"/>
        </w:rPr>
        <w:tab/>
        <w:t xml:space="preserve">возможность долгосрочн</w:t>
      </w:r>
      <w:r>
        <w:rPr>
          <w:color w:val="000000"/>
        </w:rPr>
        <w:t xml:space="preserve">ого использования земельного участка (в случае образования такового), предполагающая, в том числе, возможность многовариантного пространственного развития недвижимости в соответствии с правилами землепользования и застройки, градостроительными нормативами;</w:t>
      </w:r>
      <w:r>
        <w:rPr>
          <w:color w:val="000000"/>
        </w:rPr>
      </w:r>
    </w:p>
    <w:p>
      <w:pPr>
        <w:pStyle w:val="956"/>
        <w:contextualSpacing/>
        <w:rPr>
          <w:color w:val="000000"/>
        </w:rPr>
      </w:pPr>
      <w:r>
        <w:rPr>
          <w:color w:val="000000"/>
        </w:rPr>
        <w:tab/>
        <w:t xml:space="preserve">структура землепользования в пределах территории межевания, сформированная в результате межевания, должна обеспечить условия для наиболее эффективного использования и развития этой территории.</w:t>
      </w:r>
      <w:r>
        <w:rPr>
          <w:color w:val="000000"/>
        </w:rPr>
      </w:r>
    </w:p>
    <w:p>
      <w:pPr>
        <w:pStyle w:val="956"/>
        <w:contextualSpacing/>
      </w:pPr>
      <w:r>
        <w:t xml:space="preserve">Формируемые земельные участки под строительство и эксплуатацию объекта «Обустройство Кондинского месторождения. Ку</w:t>
      </w:r>
      <w:r>
        <w:t xml:space="preserve">ст скв</w:t>
      </w:r>
      <w:r>
        <w:t xml:space="preserve">ажин 40 и коридоры коммуникаций», образуются:</w:t>
      </w:r>
      <w:r/>
    </w:p>
    <w:p>
      <w:pPr>
        <w:pStyle w:val="956"/>
        <w:contextualSpacing/>
      </w:pPr>
      <w:r>
        <w:t xml:space="preserve">из земель запаса путем раздела земельных участков с кадастровым номером 86:01:060300 с сохранением исходных земельных участков в измененных границах;</w:t>
      </w:r>
      <w:r/>
    </w:p>
    <w:p>
      <w:pPr>
        <w:pStyle w:val="956"/>
        <w:contextualSpacing/>
      </w:pPr>
      <w:r>
        <w:t xml:space="preserve">из земель </w:t>
      </w:r>
      <w:r>
        <w:t xml:space="preserve">гослесфонда</w:t>
      </w:r>
      <w:r>
        <w:t xml:space="preserve"> с к</w:t>
      </w:r>
      <w:r>
        <w:t xml:space="preserve">адастровыми номерами 86:01:0603001:515; 86:01:0603001:516; 86:01:0603001:526; 86:01:0000000:10648; 86:01:0000000:10622; 86:01:0603001:2503; 86:01:0603001:2504 путем раздела земельных участков с сохранением исходных земельных участков в измененных границах;</w:t>
      </w:r>
      <w:r/>
    </w:p>
    <w:p>
      <w:pPr>
        <w:pStyle w:val="956"/>
        <w:contextualSpacing/>
      </w:pPr>
      <w:r>
        <w:t xml:space="preserve">из земель промышленности, энергетики, транспорта, свя</w:t>
      </w:r>
      <w:r>
        <w:t xml:space="preserve">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 с кадастровыми номерами с сохранением исходных земельных участков в измененных границах - нет; </w:t>
      </w:r>
      <w:r/>
    </w:p>
    <w:p>
      <w:pPr>
        <w:pStyle w:val="956"/>
        <w:contextualSpacing/>
      </w:pPr>
      <w:r>
        <w:t xml:space="preserve">из ранее предоставленных </w:t>
      </w:r>
      <w:r>
        <w:t xml:space="preserve">акционерным обществом</w:t>
      </w:r>
      <w:r>
        <w:t xml:space="preserve"> «НК «Конданефть».</w:t>
      </w:r>
      <w:r/>
    </w:p>
    <w:p>
      <w:pPr>
        <w:pStyle w:val="956"/>
        <w:contextualSpacing/>
      </w:pPr>
      <w:r/>
      <w:r/>
    </w:p>
    <w:p>
      <w:pPr>
        <w:pStyle w:val="956"/>
        <w:contextualSpacing/>
      </w:pPr>
      <w:r>
        <w:t xml:space="preserve">Земли находятся в границах </w:t>
      </w:r>
      <w:r>
        <w:t xml:space="preserve">Ханты-Мансийск</w:t>
      </w:r>
      <w:r>
        <w:t xml:space="preserve">ого</w:t>
      </w:r>
      <w:r>
        <w:t xml:space="preserve"> автономн</w:t>
      </w:r>
      <w:r>
        <w:t xml:space="preserve">ого</w:t>
      </w:r>
      <w:r>
        <w:t xml:space="preserve"> округ</w:t>
      </w:r>
      <w:r>
        <w:t xml:space="preserve">а</w:t>
      </w:r>
      <w:r>
        <w:t xml:space="preserve"> – Югр</w:t>
      </w:r>
      <w:r>
        <w:t xml:space="preserve">а</w:t>
      </w:r>
      <w:r>
        <w:t xml:space="preserve">, Кондинский район, Кондинское лесничество, </w:t>
      </w:r>
      <w:r>
        <w:t xml:space="preserve">Болчаровское</w:t>
      </w:r>
      <w:r>
        <w:t xml:space="preserve"> участковое лесничество, </w:t>
      </w:r>
      <w:r>
        <w:t xml:space="preserve">Болчаровское</w:t>
      </w:r>
      <w:r>
        <w:t xml:space="preserve"> урочище.</w:t>
      </w:r>
      <w:r/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3.3. </w:t>
      </w:r>
      <w:r>
        <w:rPr>
          <w:sz w:val="24"/>
        </w:rPr>
        <w:t xml:space="preserve">Обоснование определения размеров образуемого земельного участка</w:t>
      </w:r>
      <w:bookmarkEnd w:id="71"/>
      <w:r/>
      <w:r>
        <w:rPr>
          <w:sz w:val="24"/>
        </w:rPr>
      </w:r>
    </w:p>
    <w:p>
      <w:pPr>
        <w:pStyle w:val="956"/>
        <w:contextualSpacing/>
      </w:pPr>
      <w:r/>
      <w:bookmarkStart w:id="72" w:name="_Toc52540803"/>
      <w:r>
        <w:t xml:space="preserve">Земельные участки образованы исходя из нормативных требований к ширине полос отвода для соответствующих линейных объектов (СН 452-73 Нормы отвода земель для магистральных трубопроводов; СП 284.1325800.2016 Трубопроводы промысловые для нефти и газа).</w:t>
      </w:r>
      <w:r/>
    </w:p>
    <w:p>
      <w:pPr>
        <w:pStyle w:val="725"/>
        <w:contextualSpacing/>
        <w:jc w:val="center"/>
        <w:keepLines/>
        <w:spacing w:before="240" w:after="240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3.4. </w:t>
      </w:r>
      <w:r>
        <w:rPr>
          <w:sz w:val="24"/>
        </w:rPr>
        <w:t xml:space="preserve">Обоснование определения границ публичного сервитута, подлежащего установлению в соответствии с законодательством Российской Федерации</w:t>
      </w:r>
      <w:bookmarkEnd w:id="72"/>
      <w:r/>
      <w:r>
        <w:rPr>
          <w:sz w:val="24"/>
        </w:rPr>
      </w:r>
    </w:p>
    <w:p>
      <w:pPr>
        <w:contextualSpacing/>
        <w:ind w:firstLine="709"/>
      </w:pPr>
      <w:r>
        <w:t xml:space="preserve">Не требуется.</w:t>
      </w:r>
      <w:r/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</w:pPr>
      <w:r/>
      <w:r/>
    </w:p>
    <w:sectPr>
      <w:headerReference w:type="default" r:id="rId10"/>
      <w:headerReference w:type="even" r:id="rId11"/>
      <w:footnotePr/>
      <w:endnotePr/>
      <w:type w:val="nextPage"/>
      <w:pgSz w:w="11906" w:h="16838" w:orient="portrait"/>
      <w:pgMar w:top="1134" w:right="567" w:bottom="992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nsolas">
    <w:panose1 w:val="020B0606030504020204"/>
  </w:font>
  <w:font w:name="TimesNewRomanPSMT">
    <w:panose1 w:val="02020603050405020304"/>
  </w:font>
  <w:font w:name="Times New Roman">
    <w:panose1 w:val="02020603050405020304"/>
  </w:font>
  <w:font w:name="Tahoma">
    <w:panose1 w:val="020B0604030504040204"/>
  </w:font>
  <w:font w:name="Courier New">
    <w:panose1 w:val="02070309020205020404"/>
  </w:font>
  <w:font w:name="Verdana">
    <w:panose1 w:val="020B0604030504040204"/>
  </w:font>
  <w:font w:name="Calibri Light">
    <w:panose1 w:val="020F0502020204030204"/>
  </w:font>
  <w:font w:name="Calibri">
    <w:panose1 w:val="020F0502020204030204"/>
  </w:font>
  <w:font w:name="TimesET">
    <w:panose1 w:val="020B0603030804020204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4</w:t>
    </w:r>
    <w:r>
      <w:fldChar w:fldCharType="end"/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49</w:t>
    </w:r>
    <w:r>
      <w:fldChar w:fldCharType="end"/>
    </w:r>
    <w:r/>
  </w:p>
  <w:p>
    <w:pPr>
      <w:pStyle w:val="738"/>
      <w:ind w:right="36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8"/>
      <w:rPr>
        <w:rStyle w:val="739"/>
      </w:rPr>
      <w:framePr w:wrap="around" w:vAnchor="text" w:hAnchor="margin" w:xAlign="center" w:y="1"/>
    </w:pPr>
    <w:r>
      <w:rPr>
        <w:rStyle w:val="739"/>
      </w:rPr>
      <w:fldChar w:fldCharType="begin"/>
    </w:r>
    <w:r>
      <w:rPr>
        <w:rStyle w:val="739"/>
      </w:rPr>
      <w:instrText xml:space="preserve">PAGE  </w:instrText>
    </w:r>
    <w:r>
      <w:rPr>
        <w:rStyle w:val="739"/>
      </w:rPr>
      <w:fldChar w:fldCharType="separate"/>
    </w:r>
    <w:r>
      <w:rPr>
        <w:rStyle w:val="739"/>
      </w:rPr>
      <w:t xml:space="preserve">2</w:t>
    </w:r>
    <w:r>
      <w:rPr>
        <w:rStyle w:val="739"/>
      </w:rPr>
      <w:fldChar w:fldCharType="end"/>
    </w:r>
    <w:r>
      <w:rPr>
        <w:rStyle w:val="739"/>
      </w:rPr>
    </w:r>
  </w:p>
  <w:p>
    <w:pPr>
      <w:pStyle w:val="738"/>
      <w:ind w:right="360"/>
    </w:pPr>
    <w:r/>
    <w:r/>
  </w:p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911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960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styleLink w:val="988"/>
    <w:lvl w:ilvl="0">
      <w:start w:val="1"/>
      <w:numFmt w:val="bullet"/>
      <w:pStyle w:val="978"/>
      <w:isLgl w:val="false"/>
      <w:suff w:val="tab"/>
      <w:lvlText w:val=""/>
      <w:lvlJc w:val="left"/>
      <w:pPr>
        <w:ind w:left="1429" w:hanging="360"/>
      </w:pPr>
      <w:rPr>
        <w:rFonts w:ascii="Symbol" w:hAnsi="Symbol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multiLevelType w:val="hybridMultilevel"/>
    <w:styleLink w:val="989"/>
    <w:lvl w:ilvl="0">
      <w:start w:val="1"/>
      <w:numFmt w:val="bullet"/>
      <w:pStyle w:val="989"/>
      <w:isLgl w:val="false"/>
      <w:suff w:val="tab"/>
      <w:lvlText w:val="-"/>
      <w:lvlJc w:val="left"/>
      <w:pPr>
        <w:ind w:left="1271" w:hanging="360"/>
        <w:tabs>
          <w:tab w:val="num" w:pos="1271" w:leader="none"/>
        </w:tabs>
      </w:pPr>
      <w:rPr>
        <w:rFonts w:hint="default" w:ascii="Times New Roman" w:hAnsi="Times New Roman" w:eastAsia="Times New Roman" w:cs="Times New Roman"/>
      </w:rPr>
    </w:lvl>
    <w:lvl w:ilvl="1">
      <w:start w:val="14"/>
      <w:numFmt w:val="bullet"/>
      <w:isLgl w:val="false"/>
      <w:suff w:val="tab"/>
      <w:lvlText w:val="-"/>
      <w:lvlJc w:val="left"/>
      <w:pPr>
        <w:ind w:left="1440" w:hanging="360"/>
        <w:tabs>
          <w:tab w:val="num" w:pos="1440" w:leader="none"/>
        </w:tabs>
      </w:pPr>
      <w:rPr>
        <w:rFonts w:hint="default" w:ascii="Times New Roman" w:hAnsi="Times New Roman" w:eastAsia="Times New Roman" w:cs="Times New Roman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Times New Roman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Times New Roman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pStyle w:val="935"/>
      <w:isLgl w:val="false"/>
      <w:suff w:val="tab"/>
      <w:lvlText w:val=""/>
      <w:lvlJc w:val="left"/>
      <w:pPr>
        <w:ind w:left="624" w:hanging="511"/>
        <w:tabs>
          <w:tab w:val="num" w:pos="624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styleLink w:val="990"/>
    <w:lvl w:ilvl="0">
      <w:start w:val="1"/>
      <w:numFmt w:val="bullet"/>
      <w:pStyle w:val="990"/>
      <w:isLgl w:val="false"/>
      <w:suff w:val="tab"/>
      <w:lvlText w:val=""/>
      <w:lvlJc w:val="left"/>
      <w:pPr>
        <w:ind w:left="0" w:firstLine="720"/>
        <w:tabs>
          <w:tab w:val="num" w:pos="1021" w:leader="none"/>
        </w:tabs>
      </w:pPr>
      <w:rPr>
        <w:rFonts w:hint="default" w:ascii="Symbol" w:hAnsi="Symbol"/>
        <w:sz w:val="22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pStyle w:val="959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pStyle w:val="889"/>
      <w:isLgl w:val="false"/>
      <w:suff w:val="tab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/>
      <w:suff w:val="tab"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0920" w:hanging="180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33"/>
    <w:link w:val="72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33"/>
    <w:link w:val="72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33"/>
    <w:link w:val="726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33"/>
    <w:link w:val="727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33"/>
    <w:link w:val="728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33"/>
    <w:link w:val="729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33"/>
    <w:link w:val="73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33"/>
    <w:link w:val="731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3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33"/>
    <w:link w:val="737"/>
    <w:uiPriority w:val="10"/>
    <w:rPr>
      <w:sz w:val="48"/>
      <w:szCs w:val="48"/>
    </w:rPr>
  </w:style>
  <w:style w:type="character" w:styleId="37">
    <w:name w:val="Subtitle Char"/>
    <w:basedOn w:val="733"/>
    <w:link w:val="891"/>
    <w:uiPriority w:val="11"/>
    <w:rPr>
      <w:sz w:val="24"/>
      <w:szCs w:val="24"/>
    </w:rPr>
  </w:style>
  <w:style w:type="character" w:styleId="39">
    <w:name w:val="Quote Char"/>
    <w:link w:val="894"/>
    <w:uiPriority w:val="29"/>
    <w:rPr>
      <w:i/>
    </w:rPr>
  </w:style>
  <w:style w:type="character" w:styleId="41">
    <w:name w:val="Intense Quote Char"/>
    <w:link w:val="896"/>
    <w:uiPriority w:val="30"/>
    <w:rPr>
      <w:i/>
    </w:rPr>
  </w:style>
  <w:style w:type="character" w:styleId="43">
    <w:name w:val="Header Char"/>
    <w:basedOn w:val="733"/>
    <w:link w:val="738"/>
    <w:uiPriority w:val="99"/>
  </w:style>
  <w:style w:type="character" w:styleId="45">
    <w:name w:val="Footer Char"/>
    <w:basedOn w:val="733"/>
    <w:link w:val="751"/>
    <w:uiPriority w:val="99"/>
  </w:style>
  <w:style w:type="character" w:styleId="47">
    <w:name w:val="Caption Char"/>
    <w:basedOn w:val="736"/>
    <w:link w:val="751"/>
    <w:uiPriority w:val="99"/>
  </w:style>
  <w:style w:type="table" w:styleId="49">
    <w:name w:val="Table Grid Light"/>
    <w:basedOn w:val="7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2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33"/>
    <w:uiPriority w:val="99"/>
    <w:unhideWhenUsed/>
    <w:rPr>
      <w:vertAlign w:val="superscript"/>
    </w:rPr>
  </w:style>
  <w:style w:type="paragraph" w:styleId="178">
    <w:name w:val="endnote text"/>
    <w:basedOn w:val="72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33"/>
    <w:uiPriority w:val="99"/>
    <w:semiHidden/>
    <w:unhideWhenUsed/>
    <w:rPr>
      <w:vertAlign w:val="superscript"/>
    </w:rPr>
  </w:style>
  <w:style w:type="paragraph" w:styleId="184">
    <w:name w:val="toc 4"/>
    <w:basedOn w:val="723"/>
    <w:next w:val="72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23"/>
    <w:next w:val="72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23"/>
    <w:next w:val="72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23"/>
    <w:next w:val="72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23"/>
    <w:next w:val="72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23"/>
    <w:next w:val="723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723"/>
    <w:next w:val="723"/>
    <w:uiPriority w:val="99"/>
    <w:unhideWhenUsed/>
    <w:pPr>
      <w:spacing w:after="0" w:afterAutospacing="0"/>
    </w:pPr>
  </w:style>
  <w:style w:type="paragraph" w:styleId="723" w:default="1">
    <w:name w:val="Normal"/>
    <w:qFormat/>
    <w:rPr>
      <w:sz w:val="24"/>
      <w:szCs w:val="24"/>
    </w:rPr>
  </w:style>
  <w:style w:type="paragraph" w:styleId="724">
    <w:name w:val="Heading 1"/>
    <w:basedOn w:val="723"/>
    <w:next w:val="723"/>
    <w:link w:val="753"/>
    <w:qFormat/>
    <w:pPr>
      <w:jc w:val="center"/>
      <w:keepNext/>
      <w:outlineLvl w:val="0"/>
    </w:pPr>
    <w:rPr>
      <w:rFonts w:ascii="TimesET" w:hAnsi="TimesET"/>
      <w:sz w:val="28"/>
    </w:rPr>
  </w:style>
  <w:style w:type="paragraph" w:styleId="725">
    <w:name w:val="Heading 2"/>
    <w:basedOn w:val="723"/>
    <w:next w:val="723"/>
    <w:link w:val="880"/>
    <w:qFormat/>
    <w:pPr>
      <w:keepNext/>
      <w:outlineLvl w:val="1"/>
    </w:pPr>
    <w:rPr>
      <w:sz w:val="28"/>
    </w:rPr>
  </w:style>
  <w:style w:type="paragraph" w:styleId="726">
    <w:name w:val="Heading 3"/>
    <w:basedOn w:val="723"/>
    <w:next w:val="723"/>
    <w:link w:val="881"/>
    <w:qFormat/>
    <w:pPr>
      <w:jc w:val="center"/>
      <w:keepNext/>
      <w:outlineLvl w:val="2"/>
    </w:pPr>
    <w:rPr>
      <w:rFonts w:ascii="TimesET" w:hAnsi="TimesET"/>
      <w:sz w:val="36"/>
    </w:rPr>
  </w:style>
  <w:style w:type="paragraph" w:styleId="727">
    <w:name w:val="Heading 4"/>
    <w:basedOn w:val="723"/>
    <w:next w:val="723"/>
    <w:link w:val="870"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28">
    <w:name w:val="Heading 5"/>
    <w:basedOn w:val="723"/>
    <w:next w:val="723"/>
    <w:link w:val="875"/>
    <w:unhideWhenUsed/>
    <w:qFormat/>
    <w:pPr>
      <w:jc w:val="both"/>
      <w:keepLines/>
      <w:keepNext/>
      <w:spacing w:before="200"/>
      <w:outlineLvl w:val="4"/>
    </w:pPr>
    <w:rPr>
      <w:rFonts w:ascii="Calibri Light" w:hAnsi="Calibri Light"/>
      <w:color w:val="1f4d78"/>
      <w:szCs w:val="22"/>
      <w:lang w:val="en-US" w:eastAsia="en-US" w:bidi="en-US"/>
    </w:rPr>
  </w:style>
  <w:style w:type="paragraph" w:styleId="729">
    <w:name w:val="Heading 6"/>
    <w:basedOn w:val="723"/>
    <w:next w:val="723"/>
    <w:link w:val="876"/>
    <w:unhideWhenUsed/>
    <w:qFormat/>
    <w:pPr>
      <w:jc w:val="both"/>
      <w:keepLines/>
      <w:keepNext/>
      <w:spacing w:before="200"/>
      <w:outlineLvl w:val="5"/>
    </w:pPr>
    <w:rPr>
      <w:rFonts w:ascii="Calibri Light" w:hAnsi="Calibri Light"/>
      <w:i/>
      <w:iCs/>
      <w:color w:val="1f4d78"/>
      <w:szCs w:val="22"/>
      <w:lang w:val="en-US" w:eastAsia="en-US" w:bidi="en-US"/>
    </w:rPr>
  </w:style>
  <w:style w:type="paragraph" w:styleId="730">
    <w:name w:val="Heading 7"/>
    <w:basedOn w:val="723"/>
    <w:next w:val="723"/>
    <w:link w:val="877"/>
    <w:unhideWhenUsed/>
    <w:qFormat/>
    <w:pPr>
      <w:jc w:val="both"/>
      <w:keepLines/>
      <w:keepNext/>
      <w:spacing w:before="200"/>
      <w:outlineLvl w:val="6"/>
    </w:pPr>
    <w:rPr>
      <w:rFonts w:ascii="Calibri Light" w:hAnsi="Calibri Light"/>
      <w:i/>
      <w:iCs/>
      <w:color w:val="404040"/>
      <w:szCs w:val="22"/>
      <w:lang w:val="en-US" w:eastAsia="en-US" w:bidi="en-US"/>
    </w:rPr>
  </w:style>
  <w:style w:type="paragraph" w:styleId="731">
    <w:name w:val="Heading 8"/>
    <w:basedOn w:val="723"/>
    <w:next w:val="723"/>
    <w:link w:val="878"/>
    <w:unhideWhenUsed/>
    <w:qFormat/>
    <w:pPr>
      <w:jc w:val="both"/>
      <w:keepLines/>
      <w:keepNext/>
      <w:spacing w:before="200"/>
      <w:outlineLvl w:val="7"/>
    </w:pPr>
    <w:rPr>
      <w:rFonts w:ascii="Calibri Light" w:hAnsi="Calibri Light"/>
      <w:color w:val="5b9bd5"/>
      <w:sz w:val="20"/>
      <w:szCs w:val="20"/>
      <w:lang w:val="en-US" w:eastAsia="en-US" w:bidi="en-US"/>
    </w:rPr>
  </w:style>
  <w:style w:type="paragraph" w:styleId="732">
    <w:name w:val="Heading 9"/>
    <w:basedOn w:val="723"/>
    <w:next w:val="723"/>
    <w:link w:val="879"/>
    <w:unhideWhenUsed/>
    <w:qFormat/>
    <w:pPr>
      <w:jc w:val="both"/>
      <w:keepLines/>
      <w:keepNext/>
      <w:spacing w:before="200"/>
      <w:outlineLvl w:val="8"/>
    </w:pPr>
    <w:rPr>
      <w:rFonts w:ascii="Calibri Light" w:hAnsi="Calibri Light"/>
      <w:i/>
      <w:iCs/>
      <w:color w:val="404040"/>
      <w:sz w:val="20"/>
      <w:szCs w:val="20"/>
      <w:lang w:val="en-US" w:eastAsia="en-US" w:bidi="en-US"/>
    </w:rPr>
  </w:style>
  <w:style w:type="character" w:styleId="733" w:default="1">
    <w:name w:val="Default Paragraph Font"/>
    <w:uiPriority w:val="1"/>
    <w:semiHidden/>
    <w:unhideWhenUsed/>
  </w:style>
  <w:style w:type="table" w:styleId="7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5" w:default="1">
    <w:name w:val="No List"/>
    <w:uiPriority w:val="99"/>
    <w:semiHidden/>
    <w:unhideWhenUsed/>
  </w:style>
  <w:style w:type="paragraph" w:styleId="736">
    <w:name w:val="Caption"/>
    <w:basedOn w:val="723"/>
    <w:next w:val="723"/>
    <w:uiPriority w:val="35"/>
    <w:qFormat/>
    <w:pPr>
      <w:jc w:val="both"/>
    </w:pPr>
    <w:rPr>
      <w:sz w:val="28"/>
    </w:rPr>
  </w:style>
  <w:style w:type="paragraph" w:styleId="737">
    <w:name w:val="Title"/>
    <w:basedOn w:val="723"/>
    <w:link w:val="745"/>
    <w:uiPriority w:val="10"/>
    <w:qFormat/>
    <w:pPr>
      <w:jc w:val="center"/>
    </w:pPr>
    <w:rPr>
      <w:rFonts w:ascii="TimesET" w:hAnsi="TimesET"/>
      <w:sz w:val="32"/>
    </w:rPr>
  </w:style>
  <w:style w:type="paragraph" w:styleId="738">
    <w:name w:val="Header"/>
    <w:basedOn w:val="723"/>
    <w:link w:val="754"/>
    <w:uiPriority w:val="99"/>
    <w:qFormat/>
    <w:pPr>
      <w:tabs>
        <w:tab w:val="center" w:pos="4677" w:leader="none"/>
        <w:tab w:val="right" w:pos="9355" w:leader="none"/>
      </w:tabs>
    </w:pPr>
  </w:style>
  <w:style w:type="character" w:styleId="739">
    <w:name w:val="page number"/>
    <w:basedOn w:val="733"/>
  </w:style>
  <w:style w:type="paragraph" w:styleId="740" w:customStyle="1">
    <w:name w:val="- СТРАНИЦА -"/>
    <w:rPr>
      <w:sz w:val="24"/>
      <w:szCs w:val="24"/>
    </w:rPr>
  </w:style>
  <w:style w:type="paragraph" w:styleId="741">
    <w:name w:val="Body Text Indent"/>
    <w:basedOn w:val="723"/>
    <w:link w:val="961"/>
    <w:uiPriority w:val="99"/>
    <w:pPr>
      <w:ind w:left="360" w:hanging="360"/>
      <w:jc w:val="both"/>
      <w:shd w:val="clear" w:color="auto" w:fill="ffffff"/>
    </w:pPr>
    <w:rPr>
      <w:color w:val="000000"/>
      <w:sz w:val="28"/>
      <w:szCs w:val="28"/>
    </w:rPr>
  </w:style>
  <w:style w:type="table" w:styleId="742">
    <w:name w:val="Table Grid"/>
    <w:basedOn w:val="734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743" w:customStyle="1">
    <w:name w:val="Автозамена"/>
    <w:rPr>
      <w:sz w:val="24"/>
      <w:szCs w:val="24"/>
    </w:rPr>
  </w:style>
  <w:style w:type="paragraph" w:styleId="744" w:customStyle="1">
    <w:name w:val="Знак"/>
    <w:basedOn w:val="723"/>
    <w:rPr>
      <w:rFonts w:ascii="Verdana" w:hAnsi="Verdana" w:cs="Verdana"/>
      <w:sz w:val="20"/>
      <w:szCs w:val="20"/>
      <w:lang w:val="en-US" w:eastAsia="en-US"/>
    </w:rPr>
  </w:style>
  <w:style w:type="character" w:styleId="745" w:customStyle="1">
    <w:name w:val="Название Знак"/>
    <w:link w:val="737"/>
    <w:uiPriority w:val="10"/>
    <w:rPr>
      <w:rFonts w:ascii="TimesET" w:hAnsi="TimesET"/>
      <w:sz w:val="32"/>
      <w:szCs w:val="24"/>
    </w:rPr>
  </w:style>
  <w:style w:type="paragraph" w:styleId="746">
    <w:name w:val="Body Text"/>
    <w:basedOn w:val="723"/>
    <w:link w:val="747"/>
    <w:pPr>
      <w:spacing w:after="120"/>
    </w:pPr>
  </w:style>
  <w:style w:type="character" w:styleId="747" w:customStyle="1">
    <w:name w:val="Основной текст Знак"/>
    <w:link w:val="746"/>
    <w:rPr>
      <w:sz w:val="24"/>
      <w:szCs w:val="24"/>
    </w:rPr>
  </w:style>
  <w:style w:type="paragraph" w:styleId="748" w:customStyle="1">
    <w:name w:val="ConsPlusNormal"/>
    <w:link w:val="938"/>
    <w:qFormat/>
    <w:pPr>
      <w:widowControl w:val="off"/>
    </w:pPr>
    <w:rPr>
      <w:rFonts w:ascii="Arial" w:hAnsi="Arial" w:cs="Arial"/>
    </w:rPr>
  </w:style>
  <w:style w:type="paragraph" w:styleId="749">
    <w:name w:val="List Paragraph"/>
    <w:basedOn w:val="723"/>
    <w:link w:val="872"/>
    <w:uiPriority w:val="34"/>
    <w:qFormat/>
    <w:pPr>
      <w:contextualSpacing/>
      <w:ind w:left="720"/>
      <w:spacing w:after="160" w:line="259" w:lineRule="auto"/>
    </w:pPr>
    <w:rPr>
      <w:rFonts w:ascii="Calibri" w:hAnsi="Calibri" w:eastAsia="Calibri"/>
      <w:sz w:val="22"/>
      <w:szCs w:val="22"/>
      <w:lang w:eastAsia="en-US"/>
    </w:rPr>
  </w:style>
  <w:style w:type="paragraph" w:styleId="750" w:customStyle="1">
    <w:name w:val="ConsPlusNonformat"/>
    <w:uiPriority w:val="99"/>
    <w:rPr>
      <w:rFonts w:ascii="Courier New" w:hAnsi="Courier New" w:cs="Courier New"/>
      <w:lang w:eastAsia="en-US"/>
    </w:rPr>
  </w:style>
  <w:style w:type="paragraph" w:styleId="751">
    <w:name w:val="Footer"/>
    <w:basedOn w:val="723"/>
    <w:link w:val="752"/>
    <w:uiPriority w:val="99"/>
    <w:pPr>
      <w:tabs>
        <w:tab w:val="center" w:pos="4677" w:leader="none"/>
        <w:tab w:val="right" w:pos="9355" w:leader="none"/>
      </w:tabs>
    </w:pPr>
  </w:style>
  <w:style w:type="character" w:styleId="752" w:customStyle="1">
    <w:name w:val="Нижний колонтитул Знак"/>
    <w:link w:val="751"/>
    <w:uiPriority w:val="99"/>
    <w:rPr>
      <w:sz w:val="24"/>
      <w:szCs w:val="24"/>
    </w:rPr>
  </w:style>
  <w:style w:type="character" w:styleId="753" w:customStyle="1">
    <w:name w:val="Заголовок 1 Знак"/>
    <w:link w:val="724"/>
    <w:rPr>
      <w:rFonts w:ascii="TimesET" w:hAnsi="TimesET"/>
      <w:sz w:val="28"/>
      <w:szCs w:val="24"/>
    </w:rPr>
  </w:style>
  <w:style w:type="character" w:styleId="754" w:customStyle="1">
    <w:name w:val="Верхний колонтитул Знак"/>
    <w:link w:val="738"/>
    <w:uiPriority w:val="99"/>
    <w:rPr>
      <w:sz w:val="24"/>
      <w:szCs w:val="24"/>
    </w:rPr>
  </w:style>
  <w:style w:type="paragraph" w:styleId="755" w:customStyle="1">
    <w:name w:val="Знак"/>
    <w:basedOn w:val="723"/>
    <w:rPr>
      <w:rFonts w:ascii="Verdana" w:hAnsi="Verdana" w:cs="Verdana"/>
      <w:sz w:val="20"/>
      <w:szCs w:val="20"/>
      <w:lang w:val="en-US" w:eastAsia="en-US"/>
    </w:rPr>
  </w:style>
  <w:style w:type="paragraph" w:styleId="756">
    <w:name w:val="No Spacing"/>
    <w:link w:val="757"/>
    <w:uiPriority w:val="1"/>
    <w:qFormat/>
    <w:rPr>
      <w:sz w:val="24"/>
      <w:szCs w:val="24"/>
    </w:rPr>
  </w:style>
  <w:style w:type="character" w:styleId="757" w:customStyle="1">
    <w:name w:val="Без интервала Знак"/>
    <w:link w:val="756"/>
    <w:rPr>
      <w:sz w:val="24"/>
      <w:szCs w:val="24"/>
    </w:rPr>
  </w:style>
  <w:style w:type="paragraph" w:styleId="758" w:customStyle="1">
    <w:name w:val="Нормальный (таблица)"/>
    <w:basedOn w:val="723"/>
    <w:next w:val="723"/>
    <w:pPr>
      <w:jc w:val="both"/>
      <w:widowControl w:val="off"/>
    </w:pPr>
    <w:rPr>
      <w:rFonts w:ascii="Arial" w:hAnsi="Arial" w:cs="Arial"/>
    </w:rPr>
  </w:style>
  <w:style w:type="paragraph" w:styleId="759" w:customStyle="1">
    <w:name w:val="Прижатый влево"/>
    <w:basedOn w:val="723"/>
    <w:next w:val="723"/>
    <w:pPr>
      <w:widowControl w:val="off"/>
    </w:pPr>
    <w:rPr>
      <w:rFonts w:ascii="Arial" w:hAnsi="Arial" w:cs="Arial"/>
    </w:rPr>
  </w:style>
  <w:style w:type="character" w:styleId="760">
    <w:name w:val="Hyperlink"/>
    <w:uiPriority w:val="99"/>
    <w:unhideWhenUsed/>
    <w:rPr>
      <w:color w:val="0000ff"/>
      <w:u w:val="single"/>
    </w:rPr>
  </w:style>
  <w:style w:type="paragraph" w:styleId="761" w:customStyle="1">
    <w:name w:val="ConsPlusTitle"/>
    <w:pPr>
      <w:widowControl w:val="off"/>
    </w:pPr>
    <w:rPr>
      <w:rFonts w:ascii="Calibri" w:hAnsi="Calibri" w:cs="Calibri"/>
      <w:b/>
      <w:bCs/>
      <w:sz w:val="22"/>
      <w:szCs w:val="22"/>
    </w:rPr>
  </w:style>
  <w:style w:type="character" w:styleId="762" w:customStyle="1">
    <w:name w:val="Цветовое выделение"/>
    <w:uiPriority w:val="99"/>
    <w:rPr>
      <w:b/>
      <w:bCs/>
      <w:color w:val="000080"/>
    </w:rPr>
  </w:style>
  <w:style w:type="paragraph" w:styleId="763">
    <w:name w:val="Balloon Text"/>
    <w:basedOn w:val="723"/>
    <w:link w:val="764"/>
    <w:uiPriority w:val="99"/>
    <w:rPr>
      <w:rFonts w:ascii="Tahoma" w:hAnsi="Tahoma"/>
      <w:sz w:val="16"/>
      <w:szCs w:val="16"/>
    </w:rPr>
  </w:style>
  <w:style w:type="character" w:styleId="764" w:customStyle="1">
    <w:name w:val="Текст выноски Знак"/>
    <w:link w:val="763"/>
    <w:uiPriority w:val="99"/>
    <w:rPr>
      <w:rFonts w:ascii="Tahoma" w:hAnsi="Tahoma"/>
      <w:sz w:val="16"/>
      <w:szCs w:val="16"/>
    </w:rPr>
  </w:style>
  <w:style w:type="character" w:styleId="765">
    <w:name w:val="FollowedHyperlink"/>
    <w:uiPriority w:val="99"/>
    <w:unhideWhenUsed/>
    <w:rPr>
      <w:color w:val="800080"/>
      <w:u w:val="single"/>
    </w:rPr>
  </w:style>
  <w:style w:type="paragraph" w:styleId="766" w:customStyle="1">
    <w:name w:val="xl65"/>
    <w:basedOn w:val="723"/>
    <w:pPr>
      <w:jc w:val="center"/>
      <w:spacing w:before="100" w:beforeAutospacing="1" w:after="100" w:afterAutospacing="1"/>
    </w:pPr>
    <w:rPr>
      <w:sz w:val="16"/>
      <w:szCs w:val="16"/>
    </w:rPr>
  </w:style>
  <w:style w:type="paragraph" w:styleId="767" w:customStyle="1">
    <w:name w:val="xl66"/>
    <w:basedOn w:val="723"/>
    <w:pPr>
      <w:spacing w:before="100" w:beforeAutospacing="1" w:after="100" w:afterAutospacing="1"/>
    </w:pPr>
    <w:rPr>
      <w:sz w:val="16"/>
      <w:szCs w:val="16"/>
    </w:rPr>
  </w:style>
  <w:style w:type="paragraph" w:styleId="768" w:customStyle="1">
    <w:name w:val="xl67"/>
    <w:basedOn w:val="723"/>
    <w:pPr>
      <w:spacing w:before="100" w:beforeAutospacing="1" w:after="100" w:afterAutospacing="1"/>
    </w:pPr>
    <w:rPr>
      <w:sz w:val="16"/>
      <w:szCs w:val="16"/>
    </w:rPr>
  </w:style>
  <w:style w:type="paragraph" w:styleId="769" w:customStyle="1">
    <w:name w:val="xl68"/>
    <w:basedOn w:val="723"/>
    <w:pPr>
      <w:jc w:val="center"/>
      <w:spacing w:before="100" w:beforeAutospacing="1" w:after="100" w:afterAutospacing="1"/>
    </w:pPr>
    <w:rPr>
      <w:sz w:val="20"/>
      <w:szCs w:val="20"/>
    </w:rPr>
  </w:style>
  <w:style w:type="paragraph" w:styleId="770" w:customStyle="1">
    <w:name w:val="xl69"/>
    <w:basedOn w:val="723"/>
    <w:pPr>
      <w:spacing w:before="100" w:beforeAutospacing="1" w:after="100" w:afterAutospacing="1"/>
    </w:pPr>
    <w:rPr>
      <w:sz w:val="20"/>
      <w:szCs w:val="20"/>
    </w:rPr>
  </w:style>
  <w:style w:type="paragraph" w:styleId="771" w:customStyle="1">
    <w:name w:val="xl70"/>
    <w:basedOn w:val="723"/>
    <w:pPr>
      <w:spacing w:before="100" w:beforeAutospacing="1" w:after="100" w:afterAutospacing="1"/>
    </w:pPr>
    <w:rPr>
      <w:b/>
      <w:bCs/>
    </w:rPr>
  </w:style>
  <w:style w:type="paragraph" w:styleId="772" w:customStyle="1">
    <w:name w:val="xl71"/>
    <w:basedOn w:val="723"/>
    <w:pPr>
      <w:spacing w:before="100" w:beforeAutospacing="1" w:after="100" w:afterAutospacing="1"/>
    </w:pPr>
    <w:rPr>
      <w:sz w:val="16"/>
      <w:szCs w:val="16"/>
    </w:rPr>
  </w:style>
  <w:style w:type="paragraph" w:styleId="773" w:customStyle="1">
    <w:name w:val="xl72"/>
    <w:basedOn w:val="723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74" w:customStyle="1">
    <w:name w:val="xl73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75" w:customStyle="1">
    <w:name w:val="xl74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76" w:customStyle="1">
    <w:name w:val="xl75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sz w:val="16"/>
      <w:szCs w:val="16"/>
    </w:rPr>
  </w:style>
  <w:style w:type="paragraph" w:styleId="777" w:customStyle="1">
    <w:name w:val="xl76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78" w:customStyle="1">
    <w:name w:val="xl77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79" w:customStyle="1">
    <w:name w:val="xl78"/>
    <w:basedOn w:val="72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80" w:customStyle="1">
    <w:name w:val="xl79"/>
    <w:basedOn w:val="72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81" w:customStyle="1">
    <w:name w:val="xl80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82" w:customStyle="1">
    <w:name w:val="xl81"/>
    <w:basedOn w:val="72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83" w:customStyle="1">
    <w:name w:val="xl82"/>
    <w:basedOn w:val="72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84" w:customStyle="1">
    <w:name w:val="xl83"/>
    <w:basedOn w:val="72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85" w:customStyle="1">
    <w:name w:val="xl84"/>
    <w:basedOn w:val="72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86" w:customStyle="1">
    <w:name w:val="xl85"/>
    <w:basedOn w:val="72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787" w:customStyle="1">
    <w:name w:val="xl86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88" w:customStyle="1">
    <w:name w:val="xl87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000000"/>
      <w:sz w:val="16"/>
      <w:szCs w:val="16"/>
    </w:rPr>
  </w:style>
  <w:style w:type="paragraph" w:styleId="789" w:customStyle="1">
    <w:name w:val="xl88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90" w:customStyle="1">
    <w:name w:val="xl89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91" w:customStyle="1">
    <w:name w:val="xl90"/>
    <w:basedOn w:val="723"/>
    <w:pPr>
      <w:jc w:val="both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92" w:customStyle="1">
    <w:name w:val="xl91"/>
    <w:basedOn w:val="72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93" w:customStyle="1">
    <w:name w:val="xl92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94" w:customStyle="1">
    <w:name w:val="xl93"/>
    <w:basedOn w:val="72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95" w:customStyle="1">
    <w:name w:val="xl94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96" w:customStyle="1">
    <w:name w:val="xl95"/>
    <w:basedOn w:val="72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797" w:customStyle="1">
    <w:name w:val="xl96"/>
    <w:basedOn w:val="723"/>
    <w:pPr>
      <w:jc w:val="center"/>
      <w:spacing w:before="100" w:beforeAutospacing="1" w:after="100" w:afterAutospacing="1"/>
    </w:pPr>
    <w:rPr>
      <w:b/>
      <w:bCs/>
      <w:sz w:val="20"/>
      <w:szCs w:val="20"/>
    </w:rPr>
  </w:style>
  <w:style w:type="paragraph" w:styleId="798" w:customStyle="1">
    <w:name w:val="xl97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799" w:customStyle="1">
    <w:name w:val="xl98"/>
    <w:basedOn w:val="72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00" w:customStyle="1">
    <w:name w:val="xl99"/>
    <w:basedOn w:val="7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01" w:customStyle="1">
    <w:name w:val="xl100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02" w:customStyle="1">
    <w:name w:val="xl101"/>
    <w:basedOn w:val="72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03" w:customStyle="1">
    <w:name w:val="xl102"/>
    <w:basedOn w:val="7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04" w:customStyle="1">
    <w:name w:val="xl103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05" w:customStyle="1">
    <w:name w:val="xl104"/>
    <w:basedOn w:val="7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06" w:customStyle="1">
    <w:name w:val="xl105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20"/>
      <w:szCs w:val="20"/>
    </w:rPr>
  </w:style>
  <w:style w:type="paragraph" w:styleId="807" w:customStyle="1">
    <w:name w:val="xl106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08" w:customStyle="1">
    <w:name w:val="xl107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09" w:customStyle="1">
    <w:name w:val="xl108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10" w:customStyle="1">
    <w:name w:val="xl109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20"/>
      <w:szCs w:val="20"/>
    </w:rPr>
  </w:style>
  <w:style w:type="paragraph" w:styleId="811" w:customStyle="1">
    <w:name w:val="xl110"/>
    <w:basedOn w:val="72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12" w:customStyle="1">
    <w:name w:val="xl111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13" w:customStyle="1">
    <w:name w:val="xl112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14" w:customStyle="1">
    <w:name w:val="xl113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15" w:customStyle="1">
    <w:name w:val="xl114"/>
    <w:basedOn w:val="72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16" w:customStyle="1">
    <w:name w:val="xl115"/>
    <w:basedOn w:val="723"/>
    <w:pPr>
      <w:jc w:val="both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17" w:customStyle="1">
    <w:name w:val="xl116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sz w:val="16"/>
      <w:szCs w:val="16"/>
    </w:rPr>
  </w:style>
  <w:style w:type="paragraph" w:styleId="818" w:customStyle="1">
    <w:name w:val="xl117"/>
    <w:basedOn w:val="723"/>
    <w:pPr>
      <w:jc w:val="center"/>
      <w:spacing w:before="100" w:beforeAutospacing="1" w:after="100" w:afterAutospacing="1"/>
      <w:pBdr>
        <w:top w:val="single" w:color="000000" w:sz="4" w:space="0"/>
      </w:pBdr>
    </w:pPr>
    <w:rPr>
      <w:sz w:val="16"/>
      <w:szCs w:val="16"/>
    </w:rPr>
  </w:style>
  <w:style w:type="paragraph" w:styleId="819" w:customStyle="1">
    <w:name w:val="xl118"/>
    <w:basedOn w:val="723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20" w:customStyle="1">
    <w:name w:val="xl119"/>
    <w:basedOn w:val="723"/>
    <w:pPr>
      <w:jc w:val="center"/>
      <w:spacing w:before="100" w:beforeAutospacing="1" w:after="100" w:afterAutospacing="1"/>
      <w:pBdr>
        <w:left w:val="single" w:color="000000" w:sz="4" w:space="0"/>
      </w:pBdr>
    </w:pPr>
    <w:rPr>
      <w:sz w:val="16"/>
      <w:szCs w:val="16"/>
    </w:rPr>
  </w:style>
  <w:style w:type="paragraph" w:styleId="821" w:customStyle="1">
    <w:name w:val="xl120"/>
    <w:basedOn w:val="723"/>
    <w:pPr>
      <w:jc w:val="center"/>
      <w:spacing w:before="100" w:beforeAutospacing="1" w:after="100" w:afterAutospacing="1"/>
    </w:pPr>
    <w:rPr>
      <w:sz w:val="16"/>
      <w:szCs w:val="16"/>
    </w:rPr>
  </w:style>
  <w:style w:type="paragraph" w:styleId="822" w:customStyle="1">
    <w:name w:val="xl121"/>
    <w:basedOn w:val="723"/>
    <w:pPr>
      <w:jc w:val="center"/>
      <w:spacing w:before="100" w:beforeAutospacing="1" w:after="100" w:afterAutospacing="1"/>
      <w:pBdr>
        <w:right w:val="single" w:color="000000" w:sz="4" w:space="0"/>
      </w:pBdr>
    </w:pPr>
    <w:rPr>
      <w:sz w:val="16"/>
      <w:szCs w:val="16"/>
    </w:rPr>
  </w:style>
  <w:style w:type="paragraph" w:styleId="823" w:customStyle="1">
    <w:name w:val="xl122"/>
    <w:basedOn w:val="7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</w:pBdr>
    </w:pPr>
    <w:rPr>
      <w:sz w:val="16"/>
      <w:szCs w:val="16"/>
    </w:rPr>
  </w:style>
  <w:style w:type="paragraph" w:styleId="824" w:customStyle="1">
    <w:name w:val="xl123"/>
    <w:basedOn w:val="723"/>
    <w:pPr>
      <w:jc w:val="center"/>
      <w:spacing w:before="100" w:beforeAutospacing="1" w:after="100" w:afterAutospacing="1"/>
      <w:pBdr>
        <w:bottom w:val="single" w:color="000000" w:sz="4" w:space="0"/>
      </w:pBdr>
    </w:pPr>
    <w:rPr>
      <w:sz w:val="16"/>
      <w:szCs w:val="16"/>
    </w:rPr>
  </w:style>
  <w:style w:type="paragraph" w:styleId="825" w:customStyle="1">
    <w:name w:val="xl124"/>
    <w:basedOn w:val="723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26" w:customStyle="1">
    <w:name w:val="xl125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color w:val="000000"/>
      <w:sz w:val="16"/>
      <w:szCs w:val="16"/>
    </w:rPr>
  </w:style>
  <w:style w:type="paragraph" w:styleId="827" w:customStyle="1">
    <w:name w:val="xl126"/>
    <w:basedOn w:val="723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28" w:customStyle="1">
    <w:name w:val="xl127"/>
    <w:basedOn w:val="723"/>
    <w:pPr>
      <w:jc w:val="center"/>
      <w:spacing w:before="100" w:beforeAutospacing="1" w:after="100" w:afterAutospacing="1"/>
      <w:pBdr>
        <w:left w:val="single" w:color="000000" w:sz="4" w:space="0"/>
      </w:pBdr>
    </w:pPr>
    <w:rPr>
      <w:color w:val="000000"/>
      <w:sz w:val="16"/>
      <w:szCs w:val="16"/>
    </w:rPr>
  </w:style>
  <w:style w:type="paragraph" w:styleId="829" w:customStyle="1">
    <w:name w:val="xl128"/>
    <w:basedOn w:val="723"/>
    <w:pPr>
      <w:jc w:val="center"/>
      <w:spacing w:before="100" w:beforeAutospacing="1" w:after="100" w:afterAutospacing="1"/>
      <w:pBdr>
        <w:right w:val="single" w:color="000000" w:sz="4" w:space="0"/>
      </w:pBdr>
    </w:pPr>
    <w:rPr>
      <w:color w:val="000000"/>
      <w:sz w:val="16"/>
      <w:szCs w:val="16"/>
    </w:rPr>
  </w:style>
  <w:style w:type="paragraph" w:styleId="830" w:customStyle="1">
    <w:name w:val="xl129"/>
    <w:basedOn w:val="7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831" w:customStyle="1">
    <w:name w:val="xl130"/>
    <w:basedOn w:val="723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32" w:customStyle="1">
    <w:name w:val="xl131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33" w:customStyle="1">
    <w:name w:val="xl132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34" w:customStyle="1">
    <w:name w:val="xl133"/>
    <w:basedOn w:val="72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35" w:customStyle="1">
    <w:name w:val="xl134"/>
    <w:basedOn w:val="72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36" w:customStyle="1">
    <w:name w:val="xl135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16"/>
      <w:szCs w:val="16"/>
    </w:rPr>
  </w:style>
  <w:style w:type="paragraph" w:styleId="837" w:customStyle="1">
    <w:name w:val="xl136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sz w:val="16"/>
      <w:szCs w:val="16"/>
    </w:rPr>
  </w:style>
  <w:style w:type="paragraph" w:styleId="838" w:customStyle="1">
    <w:name w:val="xl137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39" w:customStyle="1">
    <w:name w:val="xl138"/>
    <w:basedOn w:val="723"/>
    <w:pPr>
      <w:spacing w:before="100" w:beforeAutospacing="1" w:after="100" w:afterAutospacing="1"/>
      <w:shd w:val="clear" w:color="000000" w:fill="ffffff"/>
    </w:pPr>
    <w:rPr>
      <w:sz w:val="20"/>
      <w:szCs w:val="20"/>
    </w:rPr>
  </w:style>
  <w:style w:type="paragraph" w:styleId="840" w:customStyle="1">
    <w:name w:val="xl139"/>
    <w:basedOn w:val="723"/>
    <w:pPr>
      <w:spacing w:before="100" w:beforeAutospacing="1" w:after="100" w:afterAutospacing="1"/>
      <w:shd w:val="clear" w:color="000000" w:fill="ffffff"/>
    </w:pPr>
    <w:rPr>
      <w:sz w:val="20"/>
      <w:szCs w:val="20"/>
    </w:rPr>
  </w:style>
  <w:style w:type="paragraph" w:styleId="841" w:customStyle="1">
    <w:name w:val="xl140"/>
    <w:basedOn w:val="723"/>
    <w:pPr>
      <w:spacing w:before="100" w:beforeAutospacing="1" w:after="100" w:afterAutospacing="1"/>
      <w:shd w:val="clear" w:color="000000" w:fill="ffffff"/>
    </w:pPr>
    <w:rPr>
      <w:sz w:val="16"/>
      <w:szCs w:val="16"/>
    </w:rPr>
  </w:style>
  <w:style w:type="paragraph" w:styleId="842" w:customStyle="1">
    <w:name w:val="xl141"/>
    <w:basedOn w:val="723"/>
    <w:pPr>
      <w:spacing w:before="100" w:beforeAutospacing="1" w:after="100" w:afterAutospacing="1"/>
      <w:shd w:val="clear" w:color="000000" w:fill="ffffff"/>
    </w:pPr>
    <w:rPr>
      <w:sz w:val="20"/>
      <w:szCs w:val="20"/>
    </w:rPr>
  </w:style>
  <w:style w:type="paragraph" w:styleId="843" w:customStyle="1">
    <w:name w:val="xl142"/>
    <w:basedOn w:val="723"/>
    <w:pPr>
      <w:jc w:val="right"/>
      <w:spacing w:before="100" w:beforeAutospacing="1" w:after="100" w:afterAutospacing="1"/>
      <w:shd w:val="clear" w:color="000000" w:fill="ffffff"/>
    </w:pPr>
    <w:rPr>
      <w:sz w:val="20"/>
      <w:szCs w:val="20"/>
    </w:rPr>
  </w:style>
  <w:style w:type="paragraph" w:styleId="844" w:customStyle="1">
    <w:name w:val="xl143"/>
    <w:basedOn w:val="723"/>
    <w:pPr>
      <w:spacing w:before="100" w:beforeAutospacing="1" w:after="100" w:afterAutospacing="1"/>
      <w:shd w:val="clear" w:color="000000" w:fill="ffffff"/>
    </w:pPr>
    <w:rPr>
      <w:sz w:val="16"/>
      <w:szCs w:val="16"/>
    </w:rPr>
  </w:style>
  <w:style w:type="paragraph" w:styleId="845" w:customStyle="1">
    <w:name w:val="xl144"/>
    <w:basedOn w:val="723"/>
    <w:pPr>
      <w:spacing w:before="100" w:beforeAutospacing="1" w:after="100" w:afterAutospacing="1"/>
      <w:shd w:val="clear" w:color="000000" w:fill="ffffff"/>
    </w:pPr>
    <w:rPr>
      <w:sz w:val="16"/>
      <w:szCs w:val="16"/>
    </w:rPr>
  </w:style>
  <w:style w:type="paragraph" w:styleId="846" w:customStyle="1">
    <w:name w:val="xl145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47" w:customStyle="1">
    <w:name w:val="xl146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</w:pBdr>
    </w:pPr>
    <w:rPr>
      <w:sz w:val="16"/>
      <w:szCs w:val="16"/>
    </w:rPr>
  </w:style>
  <w:style w:type="paragraph" w:styleId="848" w:customStyle="1">
    <w:name w:val="xl147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49" w:customStyle="1">
    <w:name w:val="xl148"/>
    <w:basedOn w:val="723"/>
    <w:pPr>
      <w:jc w:val="both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50" w:customStyle="1">
    <w:name w:val="xl149"/>
    <w:basedOn w:val="72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51" w:customStyle="1">
    <w:name w:val="xl150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52" w:customStyle="1">
    <w:name w:val="xl151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000000"/>
      <w:sz w:val="16"/>
      <w:szCs w:val="16"/>
    </w:rPr>
  </w:style>
  <w:style w:type="paragraph" w:styleId="853" w:customStyle="1">
    <w:name w:val="xl152"/>
    <w:basedOn w:val="723"/>
    <w:pPr>
      <w:spacing w:before="100" w:beforeAutospacing="1" w:after="100" w:afterAutospacing="1"/>
      <w:shd w:val="clear" w:color="000000" w:fill="ffffff"/>
    </w:pPr>
  </w:style>
  <w:style w:type="paragraph" w:styleId="854" w:customStyle="1">
    <w:name w:val="xl153"/>
    <w:basedOn w:val="72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55" w:customStyle="1">
    <w:name w:val="xl154"/>
    <w:basedOn w:val="72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56" w:customStyle="1">
    <w:name w:val="xl155"/>
    <w:basedOn w:val="72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57" w:customStyle="1">
    <w:name w:val="xl156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58" w:customStyle="1">
    <w:name w:val="xl157"/>
    <w:basedOn w:val="72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  <w:rPr>
      <w:b/>
      <w:bCs/>
      <w:sz w:val="16"/>
      <w:szCs w:val="16"/>
    </w:rPr>
  </w:style>
  <w:style w:type="paragraph" w:styleId="859" w:customStyle="1">
    <w:name w:val="xl158"/>
    <w:basedOn w:val="723"/>
    <w:pPr>
      <w:jc w:val="center"/>
      <w:spacing w:before="100" w:beforeAutospacing="1" w:after="100" w:afterAutospacing="1"/>
      <w:shd w:val="clear" w:color="000000" w:fill="ffffff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b/>
      <w:bCs/>
      <w:sz w:val="16"/>
      <w:szCs w:val="16"/>
    </w:rPr>
  </w:style>
  <w:style w:type="paragraph" w:styleId="860" w:customStyle="1">
    <w:name w:val="xl159"/>
    <w:basedOn w:val="723"/>
    <w:pPr>
      <w:jc w:val="center"/>
      <w:spacing w:before="100" w:beforeAutospacing="1" w:after="100" w:afterAutospacing="1"/>
      <w:shd w:val="clear" w:color="000000" w:fill="ffffff"/>
      <w:pBdr>
        <w:left w:val="single" w:color="000000" w:sz="8" w:space="0"/>
        <w:right w:val="single" w:color="000000" w:sz="8" w:space="0"/>
      </w:pBdr>
    </w:pPr>
    <w:rPr>
      <w:b/>
      <w:bCs/>
      <w:sz w:val="16"/>
      <w:szCs w:val="16"/>
    </w:rPr>
  </w:style>
  <w:style w:type="paragraph" w:styleId="861" w:customStyle="1">
    <w:name w:val="xl160"/>
    <w:basedOn w:val="723"/>
    <w:pPr>
      <w:jc w:val="center"/>
      <w:spacing w:before="100" w:beforeAutospacing="1" w:after="100" w:afterAutospacing="1"/>
      <w:shd w:val="clear" w:color="000000" w:fill="ffffff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  <w:sz w:val="16"/>
      <w:szCs w:val="16"/>
    </w:rPr>
  </w:style>
  <w:style w:type="paragraph" w:styleId="862" w:customStyle="1">
    <w:name w:val="msonormal"/>
    <w:basedOn w:val="723"/>
    <w:pPr>
      <w:spacing w:before="100" w:beforeAutospacing="1" w:after="100" w:afterAutospacing="1"/>
    </w:pPr>
  </w:style>
  <w:style w:type="paragraph" w:styleId="863" w:customStyle="1">
    <w:name w:val="xl161"/>
    <w:basedOn w:val="72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64" w:customStyle="1">
    <w:name w:val="xl162"/>
    <w:basedOn w:val="7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65" w:customStyle="1">
    <w:name w:val="xl163"/>
    <w:basedOn w:val="7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66" w:customStyle="1">
    <w:name w:val="font5"/>
    <w:basedOn w:val="723"/>
    <w:pPr>
      <w:spacing w:before="100" w:beforeAutospacing="1" w:after="100" w:afterAutospacing="1"/>
    </w:pPr>
    <w:rPr>
      <w:b/>
      <w:bCs/>
      <w:sz w:val="16"/>
      <w:szCs w:val="16"/>
    </w:rPr>
  </w:style>
  <w:style w:type="paragraph" w:styleId="867" w:customStyle="1">
    <w:name w:val="font6"/>
    <w:basedOn w:val="72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styleId="868" w:customStyle="1">
    <w:name w:val="xl164"/>
    <w:basedOn w:val="7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69" w:customStyle="1">
    <w:name w:val="Title!Название НПА"/>
    <w:basedOn w:val="723"/>
    <w:uiPriority w:val="99"/>
    <w:pPr>
      <w:ind w:firstLine="567"/>
      <w:jc w:val="center"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styleId="870" w:customStyle="1">
    <w:name w:val="Заголовок 4 Знак"/>
    <w:link w:val="727"/>
    <w:rPr>
      <w:rFonts w:ascii="Calibri" w:hAnsi="Calibri" w:eastAsia="Times New Roman" w:cs="Times New Roman"/>
      <w:b/>
      <w:bCs/>
      <w:sz w:val="28"/>
      <w:szCs w:val="28"/>
    </w:rPr>
  </w:style>
  <w:style w:type="character" w:styleId="871">
    <w:name w:val="Emphasis"/>
    <w:uiPriority w:val="20"/>
    <w:qFormat/>
    <w:rPr>
      <w:i/>
      <w:iCs/>
    </w:rPr>
  </w:style>
  <w:style w:type="character" w:styleId="872" w:customStyle="1">
    <w:name w:val="Абзац списка Знак"/>
    <w:link w:val="749"/>
    <w:uiPriority w:val="34"/>
    <w:rPr>
      <w:rFonts w:ascii="Calibri" w:hAnsi="Calibri" w:eastAsia="Calibri"/>
      <w:sz w:val="22"/>
      <w:szCs w:val="22"/>
      <w:lang w:eastAsia="en-US"/>
    </w:rPr>
  </w:style>
  <w:style w:type="paragraph" w:styleId="873">
    <w:name w:val="Body Text 2"/>
    <w:basedOn w:val="723"/>
    <w:link w:val="874"/>
    <w:uiPriority w:val="99"/>
    <w:pPr>
      <w:spacing w:after="120" w:line="480" w:lineRule="auto"/>
    </w:pPr>
  </w:style>
  <w:style w:type="character" w:styleId="874" w:customStyle="1">
    <w:name w:val="Основной текст 2 Знак"/>
    <w:link w:val="873"/>
    <w:uiPriority w:val="99"/>
    <w:rPr>
      <w:sz w:val="24"/>
      <w:szCs w:val="24"/>
    </w:rPr>
  </w:style>
  <w:style w:type="character" w:styleId="875" w:customStyle="1">
    <w:name w:val="Заголовок 5 Знак"/>
    <w:link w:val="728"/>
    <w:uiPriority w:val="9"/>
    <w:rPr>
      <w:rFonts w:ascii="Calibri Light" w:hAnsi="Calibri Light"/>
      <w:color w:val="1f4d78"/>
      <w:sz w:val="24"/>
      <w:szCs w:val="22"/>
      <w:lang w:val="en-US" w:eastAsia="en-US" w:bidi="en-US"/>
    </w:rPr>
  </w:style>
  <w:style w:type="character" w:styleId="876" w:customStyle="1">
    <w:name w:val="Заголовок 6 Знак"/>
    <w:link w:val="729"/>
    <w:rPr>
      <w:rFonts w:ascii="Calibri Light" w:hAnsi="Calibri Light"/>
      <w:i/>
      <w:iCs/>
      <w:color w:val="1f4d78"/>
      <w:sz w:val="24"/>
      <w:szCs w:val="22"/>
      <w:lang w:val="en-US" w:eastAsia="en-US" w:bidi="en-US"/>
    </w:rPr>
  </w:style>
  <w:style w:type="character" w:styleId="877" w:customStyle="1">
    <w:name w:val="Заголовок 7 Знак"/>
    <w:link w:val="730"/>
    <w:rPr>
      <w:rFonts w:ascii="Calibri Light" w:hAnsi="Calibri Light"/>
      <w:i/>
      <w:iCs/>
      <w:color w:val="404040"/>
      <w:sz w:val="24"/>
      <w:szCs w:val="22"/>
      <w:lang w:val="en-US" w:eastAsia="en-US" w:bidi="en-US"/>
    </w:rPr>
  </w:style>
  <w:style w:type="character" w:styleId="878" w:customStyle="1">
    <w:name w:val="Заголовок 8 Знак"/>
    <w:link w:val="731"/>
    <w:rPr>
      <w:rFonts w:ascii="Calibri Light" w:hAnsi="Calibri Light"/>
      <w:color w:val="5b9bd5"/>
      <w:lang w:val="en-US" w:eastAsia="en-US" w:bidi="en-US"/>
    </w:rPr>
  </w:style>
  <w:style w:type="character" w:styleId="879" w:customStyle="1">
    <w:name w:val="Заголовок 9 Знак"/>
    <w:link w:val="732"/>
    <w:rPr>
      <w:rFonts w:ascii="Calibri Light" w:hAnsi="Calibri Light"/>
      <w:i/>
      <w:iCs/>
      <w:color w:val="404040"/>
      <w:lang w:val="en-US" w:eastAsia="en-US" w:bidi="en-US"/>
    </w:rPr>
  </w:style>
  <w:style w:type="character" w:styleId="880" w:customStyle="1">
    <w:name w:val="Заголовок 2 Знак"/>
    <w:link w:val="725"/>
    <w:rPr>
      <w:sz w:val="28"/>
      <w:szCs w:val="24"/>
    </w:rPr>
  </w:style>
  <w:style w:type="character" w:styleId="881" w:customStyle="1">
    <w:name w:val="Заголовок 3 Знак"/>
    <w:link w:val="726"/>
    <w:rPr>
      <w:rFonts w:ascii="TimesET" w:hAnsi="TimesET"/>
      <w:sz w:val="36"/>
      <w:szCs w:val="24"/>
    </w:rPr>
  </w:style>
  <w:style w:type="paragraph" w:styleId="882" w:customStyle="1">
    <w:name w:val="Заголовок !!!!"/>
    <w:basedOn w:val="724"/>
    <w:link w:val="883"/>
    <w:qFormat/>
    <w:pPr>
      <w:contextualSpacing/>
      <w:ind w:firstLine="709"/>
      <w:jc w:val="both"/>
      <w:keepNext w:val="0"/>
      <w:spacing w:before="240" w:after="240"/>
      <w:widowControl w:val="off"/>
      <w:tabs>
        <w:tab w:val="left" w:pos="993" w:leader="none"/>
      </w:tabs>
    </w:pPr>
    <w:rPr>
      <w:rFonts w:ascii="Times New Roman" w:hAnsi="Times New Roman"/>
      <w:b/>
      <w:bCs/>
      <w:sz w:val="24"/>
      <w:szCs w:val="28"/>
      <w:lang w:eastAsia="en-US" w:bidi="en-US"/>
    </w:rPr>
  </w:style>
  <w:style w:type="character" w:styleId="883" w:customStyle="1">
    <w:name w:val="Заголовок !!!! Знак"/>
    <w:link w:val="882"/>
    <w:rPr>
      <w:b/>
      <w:bCs/>
      <w:sz w:val="24"/>
      <w:szCs w:val="28"/>
      <w:lang w:eastAsia="en-US" w:bidi="en-US"/>
    </w:rPr>
  </w:style>
  <w:style w:type="paragraph" w:styleId="884" w:customStyle="1">
    <w:name w:val="Обычный.Обычный док"/>
    <w:link w:val="885"/>
    <w:pPr>
      <w:ind w:firstLine="851"/>
    </w:pPr>
    <w:rPr>
      <w:sz w:val="24"/>
    </w:rPr>
  </w:style>
  <w:style w:type="character" w:styleId="885" w:customStyle="1">
    <w:name w:val="Обычный.Обычный док Знак"/>
    <w:link w:val="884"/>
    <w:rPr>
      <w:sz w:val="24"/>
    </w:rPr>
  </w:style>
  <w:style w:type="paragraph" w:styleId="886" w:customStyle="1">
    <w:name w:val="Обычный (отступ первой строки)"/>
    <w:basedOn w:val="723"/>
    <w:link w:val="957"/>
    <w:qFormat/>
    <w:pPr>
      <w:ind w:firstLine="708"/>
      <w:jc w:val="both"/>
    </w:pPr>
  </w:style>
  <w:style w:type="paragraph" w:styleId="887" w:customStyle="1">
    <w:name w:val="Заг 2"/>
    <w:basedOn w:val="723"/>
    <w:next w:val="723"/>
    <w:qFormat/>
    <w:pPr>
      <w:ind w:left="718" w:right="170" w:hanging="576"/>
      <w:spacing w:before="240" w:after="120"/>
      <w:tabs>
        <w:tab w:val="left" w:pos="1276" w:leader="none"/>
      </w:tabs>
      <w:outlineLvl w:val="1"/>
    </w:pPr>
    <w:rPr>
      <w:rFonts w:eastAsia="Calibri"/>
      <w:b/>
      <w:lang w:eastAsia="en-US"/>
    </w:rPr>
  </w:style>
  <w:style w:type="paragraph" w:styleId="888" w:customStyle="1">
    <w:name w:val="Заг 3"/>
    <w:basedOn w:val="723"/>
    <w:next w:val="723"/>
    <w:qFormat/>
    <w:pPr>
      <w:ind w:left="720" w:right="170" w:hanging="720"/>
      <w:spacing w:before="120" w:after="120"/>
      <w:tabs>
        <w:tab w:val="left" w:pos="1276" w:leader="none"/>
      </w:tabs>
    </w:pPr>
    <w:rPr>
      <w:rFonts w:eastAsia="Calibri"/>
      <w:lang w:eastAsia="en-US"/>
    </w:rPr>
  </w:style>
  <w:style w:type="paragraph" w:styleId="889" w:customStyle="1">
    <w:name w:val="Заголовок раздела ППТ"/>
    <w:basedOn w:val="723"/>
    <w:next w:val="723"/>
    <w:link w:val="890"/>
    <w:qFormat/>
    <w:pPr>
      <w:numPr>
        <w:ilvl w:val="0"/>
        <w:numId w:val="1"/>
      </w:numPr>
      <w:outlineLvl w:val="1"/>
    </w:pPr>
    <w:rPr>
      <w:b/>
    </w:rPr>
  </w:style>
  <w:style w:type="character" w:styleId="890" w:customStyle="1">
    <w:name w:val="Заголовок раздела ППТ Знак"/>
    <w:link w:val="889"/>
    <w:rPr>
      <w:b/>
      <w:sz w:val="24"/>
      <w:szCs w:val="24"/>
    </w:rPr>
  </w:style>
  <w:style w:type="paragraph" w:styleId="891">
    <w:name w:val="Subtitle"/>
    <w:basedOn w:val="723"/>
    <w:next w:val="723"/>
    <w:link w:val="892"/>
    <w:uiPriority w:val="11"/>
    <w:qFormat/>
    <w:pPr>
      <w:numPr>
        <w:ilvl w:val="1"/>
      </w:numPr>
      <w:ind w:firstLine="709"/>
      <w:jc w:val="both"/>
    </w:pPr>
    <w:rPr>
      <w:rFonts w:ascii="Calibri Light" w:hAnsi="Calibri Light"/>
      <w:i/>
      <w:iCs/>
      <w:color w:val="5b9bd5"/>
      <w:spacing w:val="15"/>
      <w:lang w:val="en-US" w:eastAsia="en-US" w:bidi="en-US"/>
    </w:rPr>
  </w:style>
  <w:style w:type="character" w:styleId="892" w:customStyle="1">
    <w:name w:val="Подзаголовок Знак"/>
    <w:link w:val="891"/>
    <w:uiPriority w:val="11"/>
    <w:rPr>
      <w:rFonts w:ascii="Calibri Light" w:hAnsi="Calibri Light"/>
      <w:i/>
      <w:iCs/>
      <w:color w:val="5b9bd5"/>
      <w:spacing w:val="15"/>
      <w:sz w:val="24"/>
      <w:szCs w:val="24"/>
      <w:lang w:val="en-US" w:eastAsia="en-US" w:bidi="en-US"/>
    </w:rPr>
  </w:style>
  <w:style w:type="character" w:styleId="893">
    <w:name w:val="Strong"/>
    <w:uiPriority w:val="22"/>
    <w:qFormat/>
    <w:rPr>
      <w:b/>
      <w:bCs/>
    </w:rPr>
  </w:style>
  <w:style w:type="paragraph" w:styleId="894">
    <w:name w:val="Quote"/>
    <w:basedOn w:val="723"/>
    <w:next w:val="723"/>
    <w:link w:val="895"/>
    <w:uiPriority w:val="29"/>
    <w:qFormat/>
    <w:pPr>
      <w:ind w:firstLine="709"/>
      <w:jc w:val="both"/>
    </w:pPr>
    <w:rPr>
      <w:i/>
      <w:iCs/>
      <w:color w:val="000000"/>
      <w:szCs w:val="22"/>
      <w:lang w:val="en-US" w:eastAsia="en-US" w:bidi="en-US"/>
    </w:rPr>
  </w:style>
  <w:style w:type="character" w:styleId="895" w:customStyle="1">
    <w:name w:val="Цитата 2 Знак"/>
    <w:link w:val="894"/>
    <w:uiPriority w:val="29"/>
    <w:rPr>
      <w:i/>
      <w:iCs/>
      <w:color w:val="000000"/>
      <w:sz w:val="24"/>
      <w:szCs w:val="22"/>
      <w:lang w:val="en-US" w:eastAsia="en-US" w:bidi="en-US"/>
    </w:rPr>
  </w:style>
  <w:style w:type="paragraph" w:styleId="896">
    <w:name w:val="Intense Quote"/>
    <w:basedOn w:val="723"/>
    <w:next w:val="723"/>
    <w:link w:val="897"/>
    <w:uiPriority w:val="30"/>
    <w:qFormat/>
    <w:pPr>
      <w:ind w:left="936" w:right="936" w:firstLine="709"/>
      <w:jc w:val="both"/>
      <w:spacing w:before="200" w:after="280"/>
      <w:pBdr>
        <w:bottom w:val="single" w:color="5B9BD5" w:sz="4" w:space="4"/>
      </w:pBdr>
    </w:pPr>
    <w:rPr>
      <w:b/>
      <w:bCs/>
      <w:i/>
      <w:iCs/>
      <w:color w:val="5b9bd5"/>
      <w:szCs w:val="22"/>
      <w:lang w:val="en-US" w:eastAsia="en-US" w:bidi="en-US"/>
    </w:rPr>
  </w:style>
  <w:style w:type="character" w:styleId="897" w:customStyle="1">
    <w:name w:val="Выделенная цитата Знак"/>
    <w:link w:val="896"/>
    <w:uiPriority w:val="30"/>
    <w:rPr>
      <w:b/>
      <w:bCs/>
      <w:i/>
      <w:iCs/>
      <w:color w:val="5b9bd5"/>
      <w:sz w:val="24"/>
      <w:szCs w:val="22"/>
      <w:lang w:val="en-US" w:eastAsia="en-US" w:bidi="en-US"/>
    </w:rPr>
  </w:style>
  <w:style w:type="character" w:styleId="898">
    <w:name w:val="Subtle Emphasis"/>
    <w:uiPriority w:val="19"/>
    <w:qFormat/>
    <w:rPr>
      <w:i/>
      <w:iCs/>
      <w:color w:val="808080"/>
    </w:rPr>
  </w:style>
  <w:style w:type="character" w:styleId="899">
    <w:name w:val="Intense Emphasis"/>
    <w:uiPriority w:val="21"/>
    <w:qFormat/>
    <w:rPr>
      <w:b/>
      <w:bCs/>
      <w:i/>
      <w:iCs/>
      <w:color w:val="5b9bd5"/>
    </w:rPr>
  </w:style>
  <w:style w:type="character" w:styleId="900">
    <w:name w:val="Subtle Reference"/>
    <w:uiPriority w:val="31"/>
    <w:qFormat/>
    <w:rPr>
      <w:smallCaps/>
      <w:color w:val="ed7d31"/>
      <w:u w:val="single"/>
    </w:rPr>
  </w:style>
  <w:style w:type="character" w:styleId="901">
    <w:name w:val="Intense Reference"/>
    <w:uiPriority w:val="32"/>
    <w:qFormat/>
    <w:rPr>
      <w:b/>
      <w:bCs/>
      <w:smallCaps/>
      <w:color w:val="ed7d31"/>
      <w:spacing w:val="5"/>
      <w:u w:val="single"/>
    </w:rPr>
  </w:style>
  <w:style w:type="character" w:styleId="902">
    <w:name w:val="Book Title"/>
    <w:uiPriority w:val="33"/>
    <w:qFormat/>
    <w:rPr>
      <w:b/>
      <w:bCs/>
      <w:smallCaps/>
      <w:spacing w:val="5"/>
    </w:rPr>
  </w:style>
  <w:style w:type="paragraph" w:styleId="903">
    <w:name w:val="TOC Heading"/>
    <w:basedOn w:val="724"/>
    <w:next w:val="723"/>
    <w:uiPriority w:val="39"/>
    <w:unhideWhenUsed/>
    <w:qFormat/>
    <w:pPr>
      <w:jc w:val="both"/>
      <w:keepLines/>
      <w:spacing w:before="240" w:after="240"/>
      <w:tabs>
        <w:tab w:val="left" w:pos="993" w:leader="none"/>
      </w:tabs>
      <w:outlineLvl w:val="9"/>
    </w:pPr>
    <w:rPr>
      <w:rFonts w:ascii="Times New Roman" w:hAnsi="Times New Roman"/>
      <w:b/>
      <w:bCs/>
      <w:sz w:val="24"/>
      <w:szCs w:val="28"/>
      <w:lang w:eastAsia="en-US" w:bidi="en-US"/>
    </w:rPr>
  </w:style>
  <w:style w:type="paragraph" w:styleId="904" w:customStyle="1">
    <w:name w:val="Заголовок_3"/>
    <w:basedOn w:val="723"/>
    <w:next w:val="723"/>
    <w:link w:val="905"/>
    <w:qFormat/>
    <w:pPr>
      <w:ind w:firstLine="709"/>
      <w:jc w:val="both"/>
      <w:keepLines/>
      <w:keepNext/>
      <w:spacing w:before="240" w:after="240"/>
    </w:pPr>
    <w:rPr>
      <w:b/>
      <w:bCs/>
      <w:szCs w:val="28"/>
      <w:lang w:bidi="en-US"/>
    </w:rPr>
  </w:style>
  <w:style w:type="character" w:styleId="905" w:customStyle="1">
    <w:name w:val="Заголовок_3 Знак"/>
    <w:link w:val="904"/>
    <w:rPr>
      <w:b/>
      <w:bCs/>
      <w:sz w:val="24"/>
      <w:szCs w:val="28"/>
      <w:lang w:bidi="en-US"/>
    </w:rPr>
  </w:style>
  <w:style w:type="paragraph" w:styleId="906">
    <w:name w:val="toc 1"/>
    <w:basedOn w:val="723"/>
    <w:next w:val="723"/>
    <w:uiPriority w:val="39"/>
    <w:unhideWhenUsed/>
    <w:pPr>
      <w:ind w:right="293"/>
      <w:jc w:val="both"/>
      <w:spacing w:after="60"/>
      <w:tabs>
        <w:tab w:val="left" w:pos="284" w:leader="none"/>
        <w:tab w:val="right" w:pos="9781" w:leader="dot"/>
      </w:tabs>
    </w:pPr>
    <w:rPr>
      <w:szCs w:val="22"/>
      <w:lang w:val="en-US" w:eastAsia="en-US" w:bidi="en-US"/>
    </w:rPr>
  </w:style>
  <w:style w:type="paragraph" w:styleId="907">
    <w:name w:val="toc 2"/>
    <w:basedOn w:val="723"/>
    <w:next w:val="723"/>
    <w:uiPriority w:val="39"/>
    <w:unhideWhenUsed/>
    <w:pPr>
      <w:ind w:right="295" w:firstLine="397"/>
      <w:jc w:val="both"/>
      <w:spacing w:after="60"/>
      <w:tabs>
        <w:tab w:val="left" w:pos="851" w:leader="none"/>
        <w:tab w:val="right" w:pos="9781" w:leader="dot"/>
      </w:tabs>
    </w:pPr>
    <w:rPr>
      <w:szCs w:val="22"/>
      <w:lang w:val="en-US" w:eastAsia="en-US" w:bidi="en-US"/>
    </w:rPr>
  </w:style>
  <w:style w:type="paragraph" w:styleId="908" w:customStyle="1">
    <w:name w:val="Обычный (без отступа)"/>
    <w:basedOn w:val="723"/>
    <w:link w:val="909"/>
    <w:qFormat/>
    <w:pPr>
      <w:jc w:val="both"/>
    </w:pPr>
    <w:rPr>
      <w:szCs w:val="22"/>
      <w:lang w:eastAsia="en-US" w:bidi="en-US"/>
    </w:rPr>
  </w:style>
  <w:style w:type="character" w:styleId="909" w:customStyle="1">
    <w:name w:val="Обычный (без отступа) Знак"/>
    <w:link w:val="908"/>
    <w:rPr>
      <w:sz w:val="24"/>
      <w:szCs w:val="22"/>
      <w:lang w:eastAsia="en-US" w:bidi="en-US"/>
    </w:rPr>
  </w:style>
  <w:style w:type="paragraph" w:styleId="910">
    <w:name w:val="toc 3"/>
    <w:basedOn w:val="723"/>
    <w:next w:val="723"/>
    <w:uiPriority w:val="39"/>
    <w:unhideWhenUsed/>
    <w:pPr>
      <w:ind w:left="964"/>
      <w:jc w:val="both"/>
      <w:spacing w:after="60"/>
      <w:tabs>
        <w:tab w:val="left" w:pos="1560" w:leader="none"/>
        <w:tab w:val="right" w:pos="9781" w:leader="dot"/>
      </w:tabs>
    </w:pPr>
    <w:rPr>
      <w:szCs w:val="22"/>
      <w:lang w:val="en-US" w:eastAsia="en-US" w:bidi="en-US"/>
    </w:rPr>
  </w:style>
  <w:style w:type="paragraph" w:styleId="911">
    <w:name w:val="List Bullet 4"/>
    <w:basedOn w:val="723"/>
    <w:pPr>
      <w:numPr>
        <w:ilvl w:val="0"/>
        <w:numId w:val="2"/>
      </w:numPr>
    </w:pPr>
    <w:rPr>
      <w:rFonts w:ascii="Arial" w:hAnsi="Arial" w:cs="Arial"/>
      <w:szCs w:val="20"/>
    </w:rPr>
  </w:style>
  <w:style w:type="paragraph" w:styleId="912">
    <w:name w:val="Plain Text"/>
    <w:basedOn w:val="723"/>
    <w:link w:val="913"/>
    <w:uiPriority w:val="99"/>
    <w:qFormat/>
    <w:pPr>
      <w:widowControl w:val="off"/>
    </w:pPr>
    <w:rPr>
      <w:rFonts w:ascii="Courier New" w:hAnsi="Courier New"/>
      <w:sz w:val="20"/>
      <w:szCs w:val="20"/>
    </w:rPr>
  </w:style>
  <w:style w:type="character" w:styleId="913" w:customStyle="1">
    <w:name w:val="Текст Знак"/>
    <w:link w:val="912"/>
    <w:uiPriority w:val="99"/>
    <w:rPr>
      <w:rFonts w:ascii="Courier New" w:hAnsi="Courier New"/>
    </w:rPr>
  </w:style>
  <w:style w:type="paragraph" w:styleId="914" w:customStyle="1">
    <w:name w:val="заголовок 4"/>
    <w:basedOn w:val="723"/>
    <w:next w:val="723"/>
    <w:pPr>
      <w:jc w:val="center"/>
      <w:keepNext/>
    </w:pPr>
    <w:rPr>
      <w:szCs w:val="20"/>
    </w:rPr>
  </w:style>
  <w:style w:type="paragraph" w:styleId="915">
    <w:name w:val="Body Text Indent 3"/>
    <w:basedOn w:val="723"/>
    <w:link w:val="916"/>
    <w:pPr>
      <w:ind w:left="850"/>
    </w:pPr>
    <w:rPr>
      <w:szCs w:val="20"/>
    </w:rPr>
  </w:style>
  <w:style w:type="character" w:styleId="916" w:customStyle="1">
    <w:name w:val="Основной текст с отступом 3 Знак"/>
    <w:link w:val="915"/>
    <w:rPr>
      <w:sz w:val="24"/>
    </w:rPr>
  </w:style>
  <w:style w:type="character" w:styleId="917" w:customStyle="1">
    <w:name w:val="Основной текст Знак1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918">
    <w:name w:val="Block Text"/>
    <w:basedOn w:val="723"/>
    <w:pPr>
      <w:ind w:left="284" w:right="284" w:firstLine="709"/>
      <w:jc w:val="both"/>
    </w:pPr>
    <w:rPr>
      <w:szCs w:val="20"/>
    </w:rPr>
  </w:style>
  <w:style w:type="paragraph" w:styleId="919" w:customStyle="1">
    <w:name w:val="ЗАГОЛОВОК №3"/>
    <w:pPr>
      <w:keepLines/>
      <w:spacing w:line="360" w:lineRule="auto"/>
    </w:pPr>
    <w:rPr>
      <w:rFonts w:ascii="Arial" w:hAnsi="Arial"/>
      <w:sz w:val="24"/>
    </w:rPr>
  </w:style>
  <w:style w:type="paragraph" w:styleId="920" w:customStyle="1">
    <w:name w:val="Текст1"/>
    <w:basedOn w:val="723"/>
    <w:pPr>
      <w:widowControl w:val="off"/>
    </w:pPr>
    <w:rPr>
      <w:rFonts w:ascii="Courier New" w:hAnsi="Courier New"/>
      <w:sz w:val="20"/>
      <w:szCs w:val="20"/>
    </w:rPr>
  </w:style>
  <w:style w:type="paragraph" w:styleId="921" w:customStyle="1">
    <w:name w:val="Основной текст 31"/>
    <w:basedOn w:val="723"/>
    <w:link w:val="922"/>
    <w:uiPriority w:val="99"/>
    <w:pPr>
      <w:jc w:val="both"/>
    </w:pPr>
    <w:rPr>
      <w:szCs w:val="20"/>
    </w:rPr>
  </w:style>
  <w:style w:type="character" w:styleId="922" w:customStyle="1">
    <w:name w:val="Основной текст 31 Знак"/>
    <w:link w:val="921"/>
    <w:uiPriority w:val="99"/>
    <w:rPr>
      <w:sz w:val="24"/>
    </w:rPr>
  </w:style>
  <w:style w:type="paragraph" w:styleId="923" w:customStyle="1">
    <w:name w:val="Стиль"/>
    <w:uiPriority w:val="99"/>
    <w:pPr>
      <w:widowControl w:val="off"/>
    </w:pPr>
    <w:rPr>
      <w:sz w:val="24"/>
      <w:szCs w:val="24"/>
    </w:rPr>
  </w:style>
  <w:style w:type="paragraph" w:styleId="924" w:customStyle="1">
    <w:name w:val="ïåðå÷åíü"/>
    <w:basedOn w:val="723"/>
    <w:uiPriority w:val="99"/>
    <w:pPr>
      <w:ind w:left="907" w:hanging="170"/>
      <w:jc w:val="both"/>
      <w:spacing w:after="120"/>
    </w:pPr>
  </w:style>
  <w:style w:type="paragraph" w:styleId="925" w:customStyle="1">
    <w:name w:val="Обычный1"/>
    <w:rPr>
      <w:sz w:val="28"/>
    </w:rPr>
  </w:style>
  <w:style w:type="paragraph" w:styleId="926" w:customStyle="1">
    <w:name w:val="Название2"/>
    <w:basedOn w:val="723"/>
    <w:pPr>
      <w:jc w:val="center"/>
    </w:pPr>
    <w:rPr>
      <w:szCs w:val="20"/>
    </w:rPr>
  </w:style>
  <w:style w:type="paragraph" w:styleId="927" w:customStyle="1">
    <w:name w:val="Обычный2"/>
    <w:rPr>
      <w:sz w:val="28"/>
    </w:rPr>
  </w:style>
  <w:style w:type="paragraph" w:styleId="928" w:customStyle="1">
    <w:name w:val="Название11"/>
    <w:basedOn w:val="723"/>
    <w:pPr>
      <w:jc w:val="center"/>
    </w:pPr>
    <w:rPr>
      <w:rFonts w:eastAsia="Calibri"/>
      <w:szCs w:val="20"/>
    </w:rPr>
  </w:style>
  <w:style w:type="paragraph" w:styleId="929" w:customStyle="1">
    <w:name w:val="Таблица Заголовок"/>
    <w:basedOn w:val="723"/>
    <w:qFormat/>
    <w:pPr>
      <w:contextualSpacing/>
      <w:jc w:val="center"/>
      <w:keepLines/>
    </w:pPr>
    <w:rPr>
      <w:szCs w:val="20"/>
    </w:rPr>
  </w:style>
  <w:style w:type="paragraph" w:styleId="930" w:customStyle="1">
    <w:name w:val="Таблица Данные"/>
    <w:basedOn w:val="929"/>
    <w:qFormat/>
  </w:style>
  <w:style w:type="paragraph" w:styleId="931" w:customStyle="1">
    <w:name w:val="Название1"/>
    <w:basedOn w:val="723"/>
    <w:pPr>
      <w:jc w:val="center"/>
    </w:pPr>
    <w:rPr>
      <w:szCs w:val="20"/>
    </w:rPr>
  </w:style>
  <w:style w:type="paragraph" w:styleId="932" w:customStyle="1">
    <w:name w:val="ОбычныйПосередине"/>
    <w:basedOn w:val="723"/>
    <w:qFormat/>
    <w:pPr>
      <w:jc w:val="center"/>
    </w:pPr>
    <w:rPr>
      <w:lang w:val="en-US" w:eastAsia="en-US" w:bidi="en-US"/>
    </w:rPr>
  </w:style>
  <w:style w:type="paragraph" w:styleId="933" w:customStyle="1">
    <w:name w:val="ОбычныйБезОступа"/>
    <w:basedOn w:val="932"/>
    <w:qFormat/>
    <w:pPr>
      <w:jc w:val="left"/>
    </w:pPr>
  </w:style>
  <w:style w:type="paragraph" w:styleId="934" w:customStyle="1">
    <w:name w:val="Название3"/>
    <w:basedOn w:val="723"/>
    <w:pPr>
      <w:jc w:val="center"/>
    </w:pPr>
    <w:rPr>
      <w:szCs w:val="20"/>
    </w:rPr>
  </w:style>
  <w:style w:type="paragraph" w:styleId="935" w:customStyle="1">
    <w:name w:val="Основной текст1"/>
    <w:pPr>
      <w:numPr>
        <w:ilvl w:val="0"/>
        <w:numId w:val="3"/>
      </w:numPr>
      <w:ind w:left="360" w:hanging="360"/>
      <w:spacing w:line="276" w:lineRule="auto"/>
      <w:tabs>
        <w:tab w:val="num" w:pos="360" w:leader="none"/>
        <w:tab w:val="clear" w:pos="624" w:leader="none"/>
      </w:tabs>
    </w:pPr>
    <w:rPr>
      <w:rFonts w:ascii="Calibri" w:hAnsi="Calibri"/>
      <w:sz w:val="22"/>
    </w:rPr>
  </w:style>
  <w:style w:type="paragraph" w:styleId="936" w:customStyle="1">
    <w:name w:val="xl63"/>
    <w:basedOn w:val="7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37" w:customStyle="1">
    <w:name w:val="xl64"/>
    <w:basedOn w:val="72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character" w:styleId="938" w:customStyle="1">
    <w:name w:val="ConsPlusNormal Знак"/>
    <w:link w:val="748"/>
    <w:rPr>
      <w:rFonts w:ascii="Arial" w:hAnsi="Arial" w:cs="Arial"/>
    </w:rPr>
  </w:style>
  <w:style w:type="paragraph" w:styleId="939" w:customStyle="1">
    <w:name w:val="УГТП-Номер тома"/>
    <w:basedOn w:val="723"/>
    <w:pPr>
      <w:ind w:right="200"/>
      <w:jc w:val="center"/>
      <w:tabs>
        <w:tab w:val="right" w:pos="9845" w:leader="none"/>
      </w:tabs>
    </w:pPr>
    <w:rPr>
      <w:rFonts w:ascii="Arial" w:hAnsi="Arial" w:cs="Arial"/>
      <w:b/>
      <w:bCs/>
      <w:sz w:val="28"/>
      <w:szCs w:val="28"/>
    </w:rPr>
  </w:style>
  <w:style w:type="character" w:styleId="940" w:customStyle="1">
    <w:name w:val="Гипертекстовая ссылка"/>
    <w:uiPriority w:val="99"/>
    <w:rPr>
      <w:color w:val="106bbe"/>
    </w:rPr>
  </w:style>
  <w:style w:type="character" w:styleId="941" w:customStyle="1">
    <w:name w:val="fontstyle01"/>
    <w:rPr>
      <w:rFonts w:hint="default" w:ascii="TimesNewRomanPSMT" w:hAnsi="TimesNewRomanPSMT"/>
      <w:b w:val="0"/>
      <w:bCs w:val="0"/>
      <w:i w:val="0"/>
      <w:iCs w:val="0"/>
      <w:color w:val="000000"/>
      <w:sz w:val="20"/>
      <w:szCs w:val="20"/>
    </w:rPr>
  </w:style>
  <w:style w:type="paragraph" w:styleId="942" w:customStyle="1">
    <w:name w:val="Отступ"/>
    <w:basedOn w:val="723"/>
    <w:link w:val="943"/>
    <w:qFormat/>
    <w:pPr>
      <w:ind w:firstLine="709"/>
      <w:jc w:val="both"/>
    </w:pPr>
    <w:rPr>
      <w:rFonts w:eastAsia="Calibri" w:cs="Calibri"/>
      <w:lang w:eastAsia="en-US"/>
    </w:rPr>
  </w:style>
  <w:style w:type="character" w:styleId="943" w:customStyle="1">
    <w:name w:val="Отступ Знак"/>
    <w:link w:val="942"/>
    <w:rPr>
      <w:rFonts w:eastAsia="Calibri" w:cs="Calibri"/>
      <w:sz w:val="24"/>
      <w:szCs w:val="24"/>
      <w:lang w:eastAsia="en-US"/>
    </w:rPr>
  </w:style>
  <w:style w:type="numbering" w:styleId="944" w:customStyle="1">
    <w:name w:val="Нет списка1"/>
    <w:next w:val="735"/>
    <w:uiPriority w:val="99"/>
    <w:semiHidden/>
    <w:unhideWhenUsed/>
  </w:style>
  <w:style w:type="table" w:styleId="945" w:customStyle="1">
    <w:name w:val="Сетка таблицы1"/>
    <w:basedOn w:val="734"/>
    <w:next w:val="742"/>
    <w:rPr>
      <w:lang w:val="en-US" w:bidi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46" w:customStyle="1">
    <w:name w:val="Сетка таблицы2"/>
    <w:basedOn w:val="734"/>
    <w:next w:val="742"/>
    <w:rPr>
      <w:lang w:val="en-US" w:bidi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47" w:customStyle="1">
    <w:name w:val="Название объекта1"/>
    <w:basedOn w:val="723"/>
    <w:next w:val="723"/>
    <w:uiPriority w:val="35"/>
    <w:semiHidden/>
    <w:unhideWhenUsed/>
    <w:qFormat/>
    <w:pPr>
      <w:ind w:firstLine="709"/>
      <w:jc w:val="both"/>
    </w:pPr>
    <w:rPr>
      <w:b/>
      <w:bCs/>
      <w:color w:val="4f81bd"/>
      <w:sz w:val="18"/>
      <w:szCs w:val="18"/>
      <w:lang w:val="en-US" w:eastAsia="en-US" w:bidi="en-US"/>
    </w:rPr>
  </w:style>
  <w:style w:type="character" w:styleId="948">
    <w:name w:val="Placeholder Text"/>
    <w:uiPriority w:val="99"/>
    <w:semiHidden/>
    <w:rPr>
      <w:color w:val="808080"/>
    </w:rPr>
  </w:style>
  <w:style w:type="character" w:styleId="949" w:customStyle="1">
    <w:name w:val="Заголовок 2 Знак2"/>
    <w:semiHidden/>
    <w:rPr>
      <w:rFonts w:ascii="Calibri Light" w:hAnsi="Calibri Light" w:eastAsia="Times New Roman" w:cs="Times New Roman"/>
      <w:color w:val="2e74b5"/>
      <w:sz w:val="26"/>
      <w:szCs w:val="26"/>
    </w:rPr>
  </w:style>
  <w:style w:type="character" w:styleId="950" w:customStyle="1">
    <w:name w:val="Заголовок 3 Знак1"/>
    <w:semiHidden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951" w:customStyle="1">
    <w:name w:val="Заголовок 5 Знак1"/>
    <w:semiHidden/>
    <w:rPr>
      <w:rFonts w:ascii="Calibri Light" w:hAnsi="Calibri Light" w:eastAsia="Times New Roman" w:cs="Times New Roman"/>
      <w:color w:val="2e74b5"/>
      <w:sz w:val="24"/>
      <w:szCs w:val="22"/>
    </w:rPr>
  </w:style>
  <w:style w:type="character" w:styleId="952" w:customStyle="1">
    <w:name w:val="Верхний колонтитул Знак1"/>
    <w:uiPriority w:val="99"/>
    <w:semiHidden/>
    <w:rPr>
      <w:rFonts w:ascii="Times New Roman" w:hAnsi="Times New Roman" w:eastAsia="Times New Roman"/>
      <w:sz w:val="24"/>
      <w:lang w:val="en-US" w:bidi="en-US"/>
    </w:rPr>
  </w:style>
  <w:style w:type="character" w:styleId="953" w:customStyle="1">
    <w:name w:val="Нижний колонтитул Знак1"/>
    <w:uiPriority w:val="99"/>
    <w:semiHidden/>
    <w:rPr>
      <w:rFonts w:ascii="Times New Roman" w:hAnsi="Times New Roman" w:eastAsia="Times New Roman"/>
      <w:sz w:val="24"/>
      <w:lang w:val="en-US" w:bidi="en-US"/>
    </w:rPr>
  </w:style>
  <w:style w:type="character" w:styleId="954" w:customStyle="1">
    <w:name w:val="Текст Знак1"/>
    <w:uiPriority w:val="99"/>
    <w:semiHidden/>
    <w:rPr>
      <w:rFonts w:ascii="Consolas" w:hAnsi="Consolas" w:eastAsia="Times New Roman"/>
      <w:sz w:val="21"/>
      <w:szCs w:val="21"/>
      <w:lang w:val="en-US" w:bidi="en-US"/>
    </w:rPr>
  </w:style>
  <w:style w:type="table" w:styleId="955" w:customStyle="1">
    <w:name w:val="Сетка таблицы3"/>
    <w:basedOn w:val="734"/>
    <w:next w:val="742"/>
    <w:uiPriority w:val="59"/>
    <w:rPr>
      <w:rFonts w:ascii="Calibri" w:hAnsi="Calibri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56" w:customStyle="1">
    <w:name w:val="ППиМТ"/>
    <w:basedOn w:val="886"/>
    <w:link w:val="958"/>
    <w:qFormat/>
    <w:rPr>
      <w:lang w:eastAsia="en-US" w:bidi="en-US"/>
    </w:rPr>
  </w:style>
  <w:style w:type="character" w:styleId="957" w:customStyle="1">
    <w:name w:val="Обычный (отступ первой строки) Знак"/>
    <w:link w:val="886"/>
    <w:rPr>
      <w:sz w:val="24"/>
      <w:szCs w:val="24"/>
    </w:rPr>
  </w:style>
  <w:style w:type="character" w:styleId="958" w:customStyle="1">
    <w:name w:val="ППиМТ Знак"/>
    <w:link w:val="956"/>
    <w:rPr>
      <w:sz w:val="24"/>
      <w:szCs w:val="24"/>
      <w:lang w:eastAsia="en-US" w:bidi="en-US"/>
    </w:rPr>
  </w:style>
  <w:style w:type="paragraph" w:styleId="959">
    <w:name w:val="List Bullet"/>
    <w:basedOn w:val="723"/>
    <w:unhideWhenUsed/>
    <w:pPr>
      <w:numPr>
        <w:ilvl w:val="0"/>
        <w:numId w:val="4"/>
      </w:numPr>
      <w:contextualSpacing/>
      <w:ind w:left="720"/>
      <w:jc w:val="both"/>
      <w:spacing w:after="200"/>
      <w:tabs>
        <w:tab w:val="num" w:pos="720" w:leader="none"/>
      </w:tabs>
    </w:pPr>
    <w:rPr>
      <w:szCs w:val="22"/>
      <w:lang w:val="en-US" w:eastAsia="en-US" w:bidi="en-US"/>
    </w:rPr>
  </w:style>
  <w:style w:type="paragraph" w:styleId="960">
    <w:name w:val="List Bullet 3"/>
    <w:basedOn w:val="723"/>
    <w:uiPriority w:val="99"/>
    <w:unhideWhenUsed/>
    <w:pPr>
      <w:numPr>
        <w:ilvl w:val="0"/>
        <w:numId w:val="5"/>
      </w:numPr>
      <w:contextualSpacing/>
      <w:ind w:left="720"/>
      <w:jc w:val="both"/>
      <w:tabs>
        <w:tab w:val="num" w:pos="720" w:leader="none"/>
        <w:tab w:val="clear" w:pos="926" w:leader="none"/>
      </w:tabs>
    </w:pPr>
    <w:rPr>
      <w:szCs w:val="22"/>
      <w:lang w:val="en-US" w:eastAsia="en-US" w:bidi="en-US"/>
    </w:rPr>
  </w:style>
  <w:style w:type="character" w:styleId="961" w:customStyle="1">
    <w:name w:val="Основной текст с отступом Знак"/>
    <w:link w:val="741"/>
    <w:uiPriority w:val="99"/>
    <w:rPr>
      <w:color w:val="000000"/>
      <w:sz w:val="28"/>
      <w:szCs w:val="28"/>
      <w:shd w:val="clear" w:color="auto" w:fill="ffffff"/>
    </w:rPr>
  </w:style>
  <w:style w:type="character" w:styleId="962" w:customStyle="1">
    <w:name w:val="Основной текст 2 Знак1"/>
    <w:uiPriority w:val="99"/>
    <w:semiHidden/>
    <w:rPr>
      <w:rFonts w:ascii="Times New Roman" w:hAnsi="Times New Roman" w:eastAsia="Times New Roman"/>
      <w:sz w:val="24"/>
      <w:lang w:val="en-US" w:bidi="en-US"/>
    </w:rPr>
  </w:style>
  <w:style w:type="character" w:styleId="963" w:customStyle="1">
    <w:name w:val="Основной текст с отступом 2 Знак"/>
    <w:link w:val="964"/>
    <w:rPr>
      <w:sz w:val="24"/>
    </w:rPr>
  </w:style>
  <w:style w:type="paragraph" w:styleId="964">
    <w:name w:val="Body Text Indent 2"/>
    <w:basedOn w:val="723"/>
    <w:link w:val="963"/>
    <w:unhideWhenUsed/>
    <w:pPr>
      <w:ind w:left="283" w:firstLine="709"/>
      <w:jc w:val="both"/>
      <w:spacing w:after="120" w:line="480" w:lineRule="auto"/>
    </w:pPr>
    <w:rPr>
      <w:szCs w:val="20"/>
    </w:rPr>
  </w:style>
  <w:style w:type="character" w:styleId="965" w:customStyle="1">
    <w:name w:val="Основной текст с отступом 2 Знак1"/>
    <w:rPr>
      <w:sz w:val="24"/>
      <w:szCs w:val="24"/>
    </w:rPr>
  </w:style>
  <w:style w:type="character" w:styleId="966" w:customStyle="1">
    <w:name w:val="Стиль ПЗ Знак"/>
    <w:link w:val="967"/>
    <w:rPr>
      <w:sz w:val="24"/>
    </w:rPr>
  </w:style>
  <w:style w:type="paragraph" w:styleId="967" w:customStyle="1">
    <w:name w:val="Стиль ПЗ"/>
    <w:basedOn w:val="723"/>
    <w:link w:val="966"/>
    <w:qFormat/>
    <w:pPr>
      <w:ind w:firstLine="709"/>
      <w:jc w:val="both"/>
      <w:tabs>
        <w:tab w:val="left" w:pos="960" w:leader="none"/>
      </w:tabs>
    </w:pPr>
    <w:rPr>
      <w:szCs w:val="20"/>
    </w:rPr>
  </w:style>
  <w:style w:type="paragraph" w:styleId="968" w:customStyle="1">
    <w:name w:val="1 Название таблицы"/>
    <w:basedOn w:val="723"/>
    <w:next w:val="723"/>
    <w:qFormat/>
    <w:pPr>
      <w:contextualSpacing/>
      <w:jc w:val="both"/>
      <w:spacing w:before="120" w:after="60"/>
    </w:pPr>
    <w:rPr>
      <w:rFonts w:ascii="Arial" w:hAnsi="Arial" w:cs="Arial"/>
    </w:rPr>
  </w:style>
  <w:style w:type="character" w:styleId="969" w:customStyle="1">
    <w:name w:val="Основной текст 21 Знак"/>
    <w:link w:val="970"/>
    <w:rPr>
      <w:sz w:val="24"/>
    </w:rPr>
  </w:style>
  <w:style w:type="paragraph" w:styleId="970" w:customStyle="1">
    <w:name w:val="Основной текст 21"/>
    <w:basedOn w:val="723"/>
    <w:link w:val="969"/>
    <w:qFormat/>
    <w:pPr>
      <w:ind w:firstLine="851"/>
      <w:jc w:val="both"/>
    </w:pPr>
    <w:rPr>
      <w:szCs w:val="20"/>
    </w:rPr>
  </w:style>
  <w:style w:type="paragraph" w:styleId="971" w:customStyle="1">
    <w:name w:val="Основной текст 311"/>
    <w:basedOn w:val="723"/>
    <w:uiPriority w:val="99"/>
    <w:pPr>
      <w:jc w:val="both"/>
    </w:pPr>
    <w:rPr>
      <w:szCs w:val="20"/>
      <w:lang w:val="en-US" w:eastAsia="en-US"/>
    </w:rPr>
  </w:style>
  <w:style w:type="paragraph" w:styleId="972" w:customStyle="1">
    <w:name w:val="Основной текст 23"/>
    <w:basedOn w:val="723"/>
    <w:pPr>
      <w:ind w:firstLine="851"/>
      <w:jc w:val="both"/>
    </w:pPr>
    <w:rPr>
      <w:szCs w:val="20"/>
    </w:rPr>
  </w:style>
  <w:style w:type="paragraph" w:styleId="973" w:customStyle="1">
    <w:name w:val="Основной текст 22"/>
    <w:basedOn w:val="723"/>
    <w:pPr>
      <w:ind w:firstLine="851"/>
      <w:jc w:val="both"/>
    </w:pPr>
    <w:rPr>
      <w:szCs w:val="20"/>
    </w:rPr>
  </w:style>
  <w:style w:type="character" w:styleId="974" w:customStyle="1">
    <w:name w:val="УГТП-Текст Знак1"/>
    <w:link w:val="975"/>
    <w:rPr>
      <w:rFonts w:ascii="Arial" w:hAnsi="Arial" w:cs="Arial"/>
      <w:sz w:val="24"/>
      <w:szCs w:val="24"/>
    </w:rPr>
  </w:style>
  <w:style w:type="paragraph" w:styleId="975" w:customStyle="1">
    <w:name w:val="УГТП-Текст"/>
    <w:basedOn w:val="723"/>
    <w:link w:val="974"/>
    <w:pPr>
      <w:ind w:left="284" w:right="284" w:firstLine="851"/>
      <w:jc w:val="both"/>
    </w:pPr>
    <w:rPr>
      <w:rFonts w:ascii="Arial" w:hAnsi="Arial" w:cs="Arial"/>
    </w:rPr>
  </w:style>
  <w:style w:type="paragraph" w:styleId="976" w:customStyle="1">
    <w:name w:val="Îáû÷íûé"/>
    <w:rPr>
      <w:rFonts w:ascii="Arial" w:hAnsi="Arial"/>
      <w:sz w:val="24"/>
    </w:rPr>
  </w:style>
  <w:style w:type="paragraph" w:styleId="977" w:customStyle="1">
    <w:name w:val="ОВиК_Обычный"/>
    <w:basedOn w:val="723"/>
    <w:qFormat/>
    <w:pPr>
      <w:ind w:firstLine="709"/>
      <w:jc w:val="both"/>
    </w:pPr>
    <w:rPr>
      <w:lang w:bidi="en-US"/>
    </w:rPr>
  </w:style>
  <w:style w:type="paragraph" w:styleId="978" w:customStyle="1">
    <w:name w:val="Маркированный"/>
    <w:basedOn w:val="723"/>
    <w:qFormat/>
    <w:pPr>
      <w:numPr>
        <w:ilvl w:val="0"/>
        <w:numId w:val="6"/>
      </w:numPr>
      <w:contextualSpacing/>
      <w:ind w:left="0" w:firstLine="709"/>
      <w:jc w:val="both"/>
      <w:keepLines/>
      <w:tabs>
        <w:tab w:val="left" w:pos="993" w:leader="none"/>
      </w:tabs>
    </w:pPr>
    <w:rPr>
      <w:szCs w:val="20"/>
    </w:rPr>
  </w:style>
  <w:style w:type="paragraph" w:styleId="979" w:customStyle="1">
    <w:name w:val="Обычный11"/>
    <w:rPr>
      <w:sz w:val="28"/>
    </w:rPr>
  </w:style>
  <w:style w:type="character" w:styleId="980" w:customStyle="1">
    <w:name w:val="Основной текст 28 Знак"/>
    <w:link w:val="981"/>
    <w:rPr>
      <w:sz w:val="24"/>
    </w:rPr>
  </w:style>
  <w:style w:type="paragraph" w:styleId="981" w:customStyle="1">
    <w:name w:val="Основной текст 28"/>
    <w:basedOn w:val="723"/>
    <w:link w:val="980"/>
    <w:pPr>
      <w:ind w:firstLine="851"/>
      <w:jc w:val="both"/>
    </w:pPr>
    <w:rPr>
      <w:szCs w:val="20"/>
    </w:rPr>
  </w:style>
  <w:style w:type="paragraph" w:styleId="982" w:customStyle="1">
    <w:name w:val="заголовок 3"/>
    <w:basedOn w:val="723"/>
    <w:next w:val="723"/>
    <w:pPr>
      <w:jc w:val="both"/>
      <w:keepNext/>
    </w:pPr>
    <w:rPr>
      <w:szCs w:val="20"/>
    </w:rPr>
  </w:style>
  <w:style w:type="paragraph" w:styleId="983" w:customStyle="1">
    <w:name w:val="Обычный.Обычный док2"/>
    <w:pPr>
      <w:ind w:firstLine="851"/>
    </w:pPr>
    <w:rPr>
      <w:sz w:val="24"/>
    </w:rPr>
  </w:style>
  <w:style w:type="paragraph" w:styleId="984" w:customStyle="1">
    <w:name w:val="УГТП-Наименование документа"/>
    <w:basedOn w:val="723"/>
    <w:pPr>
      <w:jc w:val="center"/>
    </w:pPr>
    <w:rPr>
      <w:rFonts w:ascii="Arial" w:hAnsi="Arial" w:cs="Arial"/>
      <w:bCs/>
    </w:rPr>
  </w:style>
  <w:style w:type="character" w:styleId="985" w:customStyle="1">
    <w:name w:val="Текст ПЗ Знак"/>
    <w:link w:val="986"/>
    <w:rPr>
      <w:rFonts w:ascii="Arial" w:hAnsi="Arial" w:eastAsia="Calibri" w:cs="Arial"/>
    </w:rPr>
  </w:style>
  <w:style w:type="paragraph" w:styleId="986" w:customStyle="1">
    <w:name w:val="Текст ПЗ"/>
    <w:basedOn w:val="723"/>
    <w:link w:val="985"/>
    <w:qFormat/>
    <w:pPr>
      <w:ind w:firstLine="709"/>
      <w:jc w:val="both"/>
      <w:spacing w:line="360" w:lineRule="auto"/>
    </w:pPr>
    <w:rPr>
      <w:rFonts w:ascii="Arial" w:hAnsi="Arial" w:eastAsia="Calibri" w:cs="Arial"/>
      <w:sz w:val="20"/>
      <w:szCs w:val="20"/>
    </w:rPr>
  </w:style>
  <w:style w:type="table" w:styleId="987" w:customStyle="1">
    <w:name w:val="Сетка таблицы7"/>
    <w:basedOn w:val="734"/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988" w:customStyle="1">
    <w:name w:val="Стиль маркированный Symbol (Symbol) Слева:  125 см Первая строк..."/>
    <w:pPr>
      <w:numPr>
        <w:ilvl w:val="0"/>
        <w:numId w:val="6"/>
      </w:numPr>
    </w:pPr>
  </w:style>
  <w:style w:type="numbering" w:styleId="989" w:customStyle="1">
    <w:name w:val="ВНП Список_маркированный93"/>
    <w:pPr>
      <w:numPr>
        <w:ilvl w:val="0"/>
        <w:numId w:val="7"/>
      </w:numPr>
    </w:pPr>
  </w:style>
  <w:style w:type="numbering" w:styleId="990" w:customStyle="1">
    <w:name w:val="ВНП Список_маркированный"/>
    <w:pPr>
      <w:numPr>
        <w:ilvl w:val="0"/>
        <w:numId w:val="8"/>
      </w:numPr>
    </w:pPr>
  </w:style>
  <w:style w:type="character" w:styleId="991" w:customStyle="1">
    <w:name w:val="Другое_"/>
    <w:link w:val="992"/>
    <w:rPr>
      <w:sz w:val="14"/>
      <w:szCs w:val="14"/>
    </w:rPr>
  </w:style>
  <w:style w:type="paragraph" w:styleId="992" w:customStyle="1">
    <w:name w:val="Другое"/>
    <w:basedOn w:val="723"/>
    <w:link w:val="991"/>
    <w:pPr>
      <w:widowControl w:val="off"/>
    </w:pPr>
    <w:rPr>
      <w:sz w:val="14"/>
      <w:szCs w:val="14"/>
    </w:rPr>
  </w:style>
  <w:style w:type="character" w:styleId="993" w:customStyle="1">
    <w:name w:val="extendedtext-short"/>
  </w:style>
  <w:style w:type="paragraph" w:styleId="994">
    <w:name w:val="Normal (Web)"/>
    <w:basedOn w:val="723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hyperlink" Target="kodeks://link/d?nd=1200136061" TargetMode="External"/><Relationship Id="rId18" Type="http://schemas.openxmlformats.org/officeDocument/2006/relationships/hyperlink" Target="kodeks://link/d?nd=1200136061" TargetMode="External"/><Relationship Id="rId19" Type="http://schemas.openxmlformats.org/officeDocument/2006/relationships/hyperlink" Target="kodeks://link/d?nd=1200038802" TargetMode="External"/><Relationship Id="rId20" Type="http://schemas.openxmlformats.org/officeDocument/2006/relationships/image" Target="media/image5.jpg"/><Relationship Id="rId21" Type="http://schemas.openxmlformats.org/officeDocument/2006/relationships/image" Target="media/image6.jpg"/><Relationship Id="rId22" Type="http://schemas.openxmlformats.org/officeDocument/2006/relationships/image" Target="media/image7.jpg"/><Relationship Id="rId23" Type="http://schemas.openxmlformats.org/officeDocument/2006/relationships/image" Target="media/image8.jpg"/><Relationship Id="rId24" Type="http://schemas.openxmlformats.org/officeDocument/2006/relationships/image" Target="media/image9.jpg"/><Relationship Id="rId25" Type="http://schemas.openxmlformats.org/officeDocument/2006/relationships/image" Target="media/image10.jpg"/><Relationship Id="rId26" Type="http://schemas.openxmlformats.org/officeDocument/2006/relationships/image" Target="media/image11.jpg"/><Relationship Id="rId27" Type="http://schemas.openxmlformats.org/officeDocument/2006/relationships/image" Target="media/image12.jpg"/><Relationship Id="rId28" Type="http://schemas.openxmlformats.org/officeDocument/2006/relationships/image" Target="media/image13.jp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12B55-1C2B-41C9-B902-626C51967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kits@admkonda.ru</cp:lastModifiedBy>
  <cp:revision>7</cp:revision>
  <dcterms:created xsi:type="dcterms:W3CDTF">2024-07-05T11:10:00Z</dcterms:created>
  <dcterms:modified xsi:type="dcterms:W3CDTF">2024-07-09T04:18:19Z</dcterms:modified>
</cp:coreProperties>
</file>