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804198">
      <w:pPr>
        <w:jc w:val="center"/>
        <w:rPr>
          <w:b/>
          <w:sz w:val="28"/>
          <w:szCs w:val="28"/>
        </w:rPr>
      </w:pPr>
    </w:p>
    <w:p w:rsidR="00D96714" w:rsidRPr="00804198" w:rsidRDefault="00D96714" w:rsidP="00804198">
      <w:pPr>
        <w:pStyle w:val="3"/>
        <w:numPr>
          <w:ilvl w:val="0"/>
          <w:numId w:val="0"/>
        </w:numPr>
        <w:spacing w:before="0" w:after="0"/>
        <w:jc w:val="center"/>
        <w:rPr>
          <w:rFonts w:ascii="Times New Roman" w:hAnsi="Times New Roman"/>
        </w:rPr>
      </w:pPr>
      <w:r w:rsidRPr="00804198">
        <w:rPr>
          <w:rFonts w:ascii="Times New Roman" w:hAnsi="Times New Roman"/>
        </w:rPr>
        <w:t>О внесении изменений в решение Думы Кондинского района</w:t>
      </w:r>
    </w:p>
    <w:p w:rsidR="00D96714" w:rsidRPr="00804198" w:rsidRDefault="00D96714" w:rsidP="00804198">
      <w:pPr>
        <w:pStyle w:val="3"/>
        <w:numPr>
          <w:ilvl w:val="0"/>
          <w:numId w:val="0"/>
        </w:numPr>
        <w:spacing w:before="0" w:after="0"/>
        <w:jc w:val="center"/>
        <w:rPr>
          <w:rFonts w:ascii="Times New Roman" w:hAnsi="Times New Roman"/>
        </w:rPr>
      </w:pPr>
      <w:r w:rsidRPr="00804198">
        <w:rPr>
          <w:rFonts w:ascii="Times New Roman" w:hAnsi="Times New Roman"/>
        </w:rPr>
        <w:t>от 09 ноября 2023 года № 1088 «Об утверждении прогнозного плана приватизации муниципального имущества Кондинского района</w:t>
      </w:r>
    </w:p>
    <w:p w:rsidR="00D96714" w:rsidRPr="00804198" w:rsidRDefault="00D96714" w:rsidP="00804198">
      <w:pPr>
        <w:pStyle w:val="3"/>
        <w:numPr>
          <w:ilvl w:val="0"/>
          <w:numId w:val="0"/>
        </w:numPr>
        <w:spacing w:before="0" w:after="0"/>
        <w:jc w:val="center"/>
        <w:rPr>
          <w:rFonts w:ascii="Times New Roman" w:hAnsi="Times New Roman"/>
        </w:rPr>
      </w:pPr>
      <w:r w:rsidRPr="00804198">
        <w:rPr>
          <w:rFonts w:ascii="Times New Roman" w:hAnsi="Times New Roman"/>
        </w:rPr>
        <w:t>на 2024-2026 годы»</w:t>
      </w:r>
    </w:p>
    <w:p w:rsidR="00D96714" w:rsidRPr="00BF5517" w:rsidRDefault="00D96714" w:rsidP="00D96714">
      <w:pPr>
        <w:spacing w:line="0" w:lineRule="atLeast"/>
      </w:pPr>
    </w:p>
    <w:p w:rsidR="00D96714" w:rsidRPr="00804198" w:rsidRDefault="00D96714" w:rsidP="00D96714">
      <w:pPr>
        <w:spacing w:line="0" w:lineRule="atLeast"/>
        <w:jc w:val="both"/>
        <w:rPr>
          <w:sz w:val="26"/>
          <w:szCs w:val="26"/>
        </w:rPr>
      </w:pPr>
      <w:r w:rsidRPr="00BF5517">
        <w:tab/>
      </w:r>
      <w:proofErr w:type="gramStart"/>
      <w:r w:rsidRPr="00804198">
        <w:rPr>
          <w:sz w:val="26"/>
          <w:szCs w:val="26"/>
        </w:rPr>
        <w:t xml:space="preserve">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26 декабря 2005 года </w:t>
      </w:r>
      <w:r w:rsidR="00804198">
        <w:rPr>
          <w:sz w:val="26"/>
          <w:szCs w:val="26"/>
        </w:rPr>
        <w:t xml:space="preserve">             </w:t>
      </w:r>
      <w:r w:rsidRPr="00804198">
        <w:rPr>
          <w:sz w:val="26"/>
          <w:szCs w:val="26"/>
        </w:rPr>
        <w:t>№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Думы Кондинского района от 26 апреля</w:t>
      </w:r>
      <w:proofErr w:type="gramEnd"/>
      <w:r w:rsidRPr="00804198">
        <w:rPr>
          <w:sz w:val="26"/>
          <w:szCs w:val="26"/>
        </w:rPr>
        <w:t xml:space="preserve"> </w:t>
      </w:r>
      <w:r w:rsidR="00804198">
        <w:rPr>
          <w:sz w:val="26"/>
          <w:szCs w:val="26"/>
        </w:rPr>
        <w:t xml:space="preserve">            </w:t>
      </w:r>
      <w:r w:rsidRPr="00804198">
        <w:rPr>
          <w:sz w:val="26"/>
          <w:szCs w:val="26"/>
        </w:rPr>
        <w:t xml:space="preserve">2012 года № 232 «Об утверждении Порядка приватизации муниципального имущества муниципального образования Кондинский район», Дума Кондинского района </w:t>
      </w:r>
      <w:r w:rsidRPr="00804198">
        <w:rPr>
          <w:b/>
          <w:sz w:val="26"/>
          <w:szCs w:val="26"/>
        </w:rPr>
        <w:t>решила</w:t>
      </w:r>
      <w:r w:rsidRPr="00804198">
        <w:rPr>
          <w:sz w:val="26"/>
          <w:szCs w:val="26"/>
        </w:rPr>
        <w:t>:</w:t>
      </w:r>
    </w:p>
    <w:p w:rsidR="00D96714" w:rsidRDefault="00D96714" w:rsidP="00804198">
      <w:pPr>
        <w:pStyle w:val="3"/>
        <w:numPr>
          <w:ilvl w:val="0"/>
          <w:numId w:val="0"/>
        </w:numPr>
        <w:spacing w:before="0" w:after="0" w:line="0" w:lineRule="atLeast"/>
        <w:ind w:firstLine="720"/>
        <w:jc w:val="both"/>
      </w:pPr>
      <w:r w:rsidRPr="00804198">
        <w:rPr>
          <w:rFonts w:ascii="Times New Roman" w:hAnsi="Times New Roman"/>
          <w:b w:val="0"/>
        </w:rPr>
        <w:t xml:space="preserve">1. Внести в решение Думы Кондинского района от 09 ноября 2023 года </w:t>
      </w:r>
      <w:r w:rsidR="00804198">
        <w:rPr>
          <w:rFonts w:ascii="Times New Roman" w:hAnsi="Times New Roman"/>
          <w:b w:val="0"/>
        </w:rPr>
        <w:t xml:space="preserve">                 </w:t>
      </w:r>
      <w:r w:rsidRPr="00804198">
        <w:rPr>
          <w:rFonts w:ascii="Times New Roman" w:hAnsi="Times New Roman"/>
          <w:b w:val="0"/>
        </w:rPr>
        <w:t>№ 1088 «Об утверждении прогнозного плана приватизации муниципального имущества Кондинского района на 2024-2026 годы»  (далее - решение) следующие изменения:</w:t>
      </w:r>
      <w:r w:rsidRPr="00804198">
        <w:t xml:space="preserve"> </w:t>
      </w:r>
    </w:p>
    <w:p w:rsidR="00804198" w:rsidRPr="00300445" w:rsidRDefault="00804198" w:rsidP="00804198">
      <w:pPr>
        <w:rPr>
          <w:sz w:val="26"/>
          <w:szCs w:val="26"/>
        </w:rPr>
      </w:pPr>
      <w:r>
        <w:tab/>
      </w:r>
      <w:r w:rsidRPr="00300445">
        <w:rPr>
          <w:sz w:val="26"/>
          <w:szCs w:val="26"/>
        </w:rPr>
        <w:t>В приложении к решению</w:t>
      </w:r>
      <w:r w:rsidR="00300445">
        <w:rPr>
          <w:sz w:val="26"/>
          <w:szCs w:val="26"/>
        </w:rPr>
        <w:t xml:space="preserve"> в разделе </w:t>
      </w:r>
      <w:r w:rsidR="00300445">
        <w:rPr>
          <w:sz w:val="26"/>
          <w:szCs w:val="26"/>
          <w:lang w:val="en-US"/>
        </w:rPr>
        <w:t>II</w:t>
      </w:r>
      <w:r w:rsidRPr="00300445">
        <w:rPr>
          <w:sz w:val="26"/>
          <w:szCs w:val="26"/>
        </w:rPr>
        <w:t>:</w:t>
      </w:r>
    </w:p>
    <w:p w:rsidR="00D96714" w:rsidRPr="00804198" w:rsidRDefault="00804198" w:rsidP="00804198">
      <w:pPr>
        <w:pStyle w:val="aff8"/>
        <w:tabs>
          <w:tab w:val="left" w:pos="709"/>
        </w:tabs>
        <w:overflowPunct w:val="0"/>
        <w:autoSpaceDE w:val="0"/>
        <w:autoSpaceDN w:val="0"/>
        <w:adjustRightInd w:val="0"/>
        <w:spacing w:after="0"/>
        <w:ind w:left="720"/>
        <w:jc w:val="both"/>
        <w:rPr>
          <w:sz w:val="26"/>
          <w:szCs w:val="26"/>
        </w:rPr>
      </w:pPr>
      <w:r>
        <w:rPr>
          <w:sz w:val="26"/>
          <w:szCs w:val="26"/>
        </w:rPr>
        <w:t xml:space="preserve">1.1. </w:t>
      </w:r>
      <w:r w:rsidRPr="00804198">
        <w:rPr>
          <w:sz w:val="26"/>
          <w:szCs w:val="26"/>
        </w:rPr>
        <w:t xml:space="preserve">Пункт </w:t>
      </w:r>
      <w:r w:rsidR="00D96714" w:rsidRPr="00804198">
        <w:rPr>
          <w:sz w:val="26"/>
          <w:szCs w:val="26"/>
        </w:rPr>
        <w:t xml:space="preserve">1 статьи 3 </w:t>
      </w:r>
      <w:r w:rsidR="00EC161A">
        <w:rPr>
          <w:sz w:val="26"/>
          <w:szCs w:val="26"/>
        </w:rPr>
        <w:t>признать утратившим силу</w:t>
      </w:r>
      <w:r w:rsidR="00D96714" w:rsidRPr="00804198">
        <w:rPr>
          <w:sz w:val="26"/>
          <w:szCs w:val="26"/>
        </w:rPr>
        <w:t>.</w:t>
      </w:r>
    </w:p>
    <w:p w:rsidR="00D96714" w:rsidRDefault="00804198" w:rsidP="00804198">
      <w:pPr>
        <w:pStyle w:val="aff8"/>
        <w:tabs>
          <w:tab w:val="left" w:pos="0"/>
        </w:tabs>
        <w:overflowPunct w:val="0"/>
        <w:autoSpaceDE w:val="0"/>
        <w:autoSpaceDN w:val="0"/>
        <w:adjustRightInd w:val="0"/>
        <w:spacing w:after="0"/>
        <w:ind w:firstLine="720"/>
        <w:jc w:val="both"/>
        <w:rPr>
          <w:sz w:val="26"/>
          <w:szCs w:val="26"/>
        </w:rPr>
      </w:pPr>
      <w:r>
        <w:rPr>
          <w:sz w:val="26"/>
          <w:szCs w:val="26"/>
        </w:rPr>
        <w:t xml:space="preserve">1.2. </w:t>
      </w:r>
      <w:r w:rsidR="00300445">
        <w:rPr>
          <w:sz w:val="26"/>
          <w:szCs w:val="26"/>
        </w:rPr>
        <w:t xml:space="preserve">Таблицу </w:t>
      </w:r>
      <w:r w:rsidR="00D96714" w:rsidRPr="00804198">
        <w:rPr>
          <w:sz w:val="26"/>
          <w:szCs w:val="26"/>
        </w:rPr>
        <w:t>подпункт</w:t>
      </w:r>
      <w:r w:rsidR="00300445">
        <w:rPr>
          <w:sz w:val="26"/>
          <w:szCs w:val="26"/>
        </w:rPr>
        <w:t>а</w:t>
      </w:r>
      <w:r w:rsidR="00D96714" w:rsidRPr="00804198">
        <w:rPr>
          <w:sz w:val="26"/>
          <w:szCs w:val="26"/>
        </w:rPr>
        <w:t xml:space="preserve"> 2.1 пункта 2 статьи 3 дополнить строк</w:t>
      </w:r>
      <w:r>
        <w:rPr>
          <w:sz w:val="26"/>
          <w:szCs w:val="26"/>
        </w:rPr>
        <w:t>ами</w:t>
      </w:r>
      <w:r w:rsidR="00D96714" w:rsidRPr="00804198">
        <w:rPr>
          <w:sz w:val="26"/>
          <w:szCs w:val="26"/>
        </w:rPr>
        <w:t xml:space="preserve"> 3, 4, 5 следующего содержания</w:t>
      </w:r>
    </w:p>
    <w:p w:rsidR="00804198" w:rsidRPr="00804198" w:rsidRDefault="00804198" w:rsidP="00804198">
      <w:pPr>
        <w:pStyle w:val="aff8"/>
        <w:tabs>
          <w:tab w:val="left" w:pos="709"/>
        </w:tabs>
        <w:overflowPunct w:val="0"/>
        <w:autoSpaceDE w:val="0"/>
        <w:autoSpaceDN w:val="0"/>
        <w:adjustRightInd w:val="0"/>
        <w:spacing w:after="0"/>
        <w:jc w:val="both"/>
        <w:rPr>
          <w:sz w:val="26"/>
          <w:szCs w:val="26"/>
        </w:rPr>
      </w:pPr>
      <w:r>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4502"/>
        <w:gridCol w:w="2802"/>
        <w:gridCol w:w="1719"/>
      </w:tblGrid>
      <w:tr w:rsidR="00D96714" w:rsidRPr="00804198" w:rsidTr="00804198">
        <w:trPr>
          <w:trHeight w:val="68"/>
        </w:trPr>
        <w:tc>
          <w:tcPr>
            <w:tcW w:w="286" w:type="pct"/>
            <w:shd w:val="clear" w:color="auto" w:fill="auto"/>
          </w:tcPr>
          <w:p w:rsidR="00D96714" w:rsidRPr="00804198" w:rsidRDefault="00D96714" w:rsidP="00804198">
            <w:pPr>
              <w:pStyle w:val="aff8"/>
              <w:tabs>
                <w:tab w:val="left" w:pos="709"/>
              </w:tabs>
              <w:jc w:val="center"/>
              <w:rPr>
                <w:sz w:val="26"/>
                <w:szCs w:val="26"/>
              </w:rPr>
            </w:pPr>
            <w:r w:rsidRPr="00804198">
              <w:rPr>
                <w:sz w:val="26"/>
                <w:szCs w:val="26"/>
              </w:rPr>
              <w:t>3.</w:t>
            </w:r>
          </w:p>
        </w:tc>
        <w:tc>
          <w:tcPr>
            <w:tcW w:w="2352" w:type="pct"/>
            <w:shd w:val="clear" w:color="auto" w:fill="auto"/>
          </w:tcPr>
          <w:p w:rsidR="00D96714" w:rsidRPr="00804198" w:rsidRDefault="00D96714" w:rsidP="00804198">
            <w:pPr>
              <w:tabs>
                <w:tab w:val="left" w:pos="0"/>
              </w:tabs>
              <w:spacing w:line="0" w:lineRule="atLeast"/>
              <w:rPr>
                <w:rFonts w:eastAsia="Calibri"/>
                <w:sz w:val="26"/>
                <w:szCs w:val="26"/>
                <w:lang w:eastAsia="en-US"/>
              </w:rPr>
            </w:pPr>
            <w:r w:rsidRPr="00804198">
              <w:rPr>
                <w:rFonts w:eastAsia="Calibri"/>
                <w:sz w:val="26"/>
                <w:szCs w:val="26"/>
                <w:lang w:eastAsia="en-US"/>
              </w:rPr>
              <w:t>Берегоукрепительное сооружение Кондинский район, кадастровый номер: 86:01:0401013:677, протяженностью 317 м., год завершения строительства – 1986.,</w:t>
            </w:r>
          </w:p>
          <w:p w:rsidR="00804198" w:rsidRDefault="00804198" w:rsidP="00804198">
            <w:pPr>
              <w:tabs>
                <w:tab w:val="left" w:pos="0"/>
              </w:tabs>
              <w:spacing w:line="0" w:lineRule="atLeast"/>
              <w:rPr>
                <w:rFonts w:eastAsia="Calibri"/>
                <w:sz w:val="26"/>
                <w:szCs w:val="26"/>
                <w:lang w:eastAsia="en-US"/>
              </w:rPr>
            </w:pPr>
          </w:p>
          <w:p w:rsidR="00D96714" w:rsidRPr="00804198" w:rsidRDefault="00D96714" w:rsidP="00804198">
            <w:pPr>
              <w:tabs>
                <w:tab w:val="left" w:pos="0"/>
              </w:tabs>
              <w:spacing w:line="0" w:lineRule="atLeast"/>
              <w:rPr>
                <w:sz w:val="26"/>
                <w:szCs w:val="26"/>
              </w:rPr>
            </w:pPr>
            <w:r w:rsidRPr="00804198">
              <w:rPr>
                <w:rFonts w:eastAsia="Calibri"/>
                <w:sz w:val="26"/>
                <w:szCs w:val="26"/>
                <w:lang w:eastAsia="en-US"/>
              </w:rPr>
              <w:t>земельный участок,  категория земель: земли населенных пунктов,  общая площадь 31302 кв.</w:t>
            </w:r>
            <w:r w:rsidR="00804198">
              <w:rPr>
                <w:rFonts w:eastAsia="Calibri"/>
                <w:sz w:val="26"/>
                <w:szCs w:val="26"/>
                <w:lang w:eastAsia="en-US"/>
              </w:rPr>
              <w:t xml:space="preserve"> </w:t>
            </w:r>
            <w:r w:rsidRPr="00804198">
              <w:rPr>
                <w:rFonts w:eastAsia="Calibri"/>
                <w:sz w:val="26"/>
                <w:szCs w:val="26"/>
                <w:lang w:eastAsia="en-US"/>
              </w:rPr>
              <w:t>м, кадастровый номер 86:01:0401013:685</w:t>
            </w:r>
          </w:p>
        </w:tc>
        <w:tc>
          <w:tcPr>
            <w:tcW w:w="1464" w:type="pct"/>
            <w:shd w:val="clear" w:color="auto" w:fill="auto"/>
          </w:tcPr>
          <w:p w:rsidR="00D96714" w:rsidRPr="00804198" w:rsidRDefault="00D96714" w:rsidP="00804198">
            <w:pPr>
              <w:jc w:val="center"/>
              <w:rPr>
                <w:rFonts w:eastAsia="Calibri"/>
                <w:sz w:val="26"/>
                <w:szCs w:val="26"/>
                <w:lang w:eastAsia="en-US"/>
              </w:rPr>
            </w:pPr>
            <w:r w:rsidRPr="00804198">
              <w:rPr>
                <w:sz w:val="26"/>
                <w:szCs w:val="26"/>
              </w:rPr>
              <w:t xml:space="preserve">Ханты-Мансийский автономный округ – Югра, Кондинский район, </w:t>
            </w:r>
            <w:r w:rsidRPr="00804198">
              <w:rPr>
                <w:rFonts w:eastAsia="Calibri"/>
                <w:sz w:val="26"/>
                <w:szCs w:val="26"/>
                <w:lang w:eastAsia="en-US"/>
              </w:rPr>
              <w:t>488.07 – 488.30 км реки Конда</w:t>
            </w:r>
          </w:p>
          <w:p w:rsidR="00804198" w:rsidRDefault="00804198" w:rsidP="00804198">
            <w:pPr>
              <w:rPr>
                <w:rFonts w:eastAsia="Calibri"/>
                <w:sz w:val="26"/>
                <w:szCs w:val="26"/>
                <w:lang w:eastAsia="en-US"/>
              </w:rPr>
            </w:pPr>
          </w:p>
          <w:p w:rsidR="00804198" w:rsidRDefault="00D96714" w:rsidP="00804198">
            <w:pPr>
              <w:jc w:val="center"/>
              <w:rPr>
                <w:rFonts w:eastAsia="Calibri"/>
                <w:sz w:val="26"/>
                <w:szCs w:val="26"/>
                <w:lang w:eastAsia="en-US"/>
              </w:rPr>
            </w:pPr>
            <w:r w:rsidRPr="00804198">
              <w:rPr>
                <w:rFonts w:eastAsia="Calibri"/>
                <w:sz w:val="26"/>
                <w:szCs w:val="26"/>
                <w:lang w:eastAsia="en-US"/>
              </w:rPr>
              <w:t>Ханты-Мансийский автономный округ – Югра, Кондинский район</w:t>
            </w:r>
          </w:p>
          <w:p w:rsidR="00D96714" w:rsidRPr="00804198" w:rsidRDefault="00D96714" w:rsidP="00804198">
            <w:pPr>
              <w:jc w:val="center"/>
              <w:rPr>
                <w:sz w:val="26"/>
                <w:szCs w:val="26"/>
              </w:rPr>
            </w:pPr>
            <w:r w:rsidRPr="00804198">
              <w:rPr>
                <w:rFonts w:eastAsia="Calibri"/>
                <w:sz w:val="26"/>
                <w:szCs w:val="26"/>
                <w:lang w:eastAsia="en-US"/>
              </w:rPr>
              <w:t>п.</w:t>
            </w:r>
            <w:r w:rsidR="00804198">
              <w:rPr>
                <w:rFonts w:eastAsia="Calibri"/>
                <w:sz w:val="26"/>
                <w:szCs w:val="26"/>
                <w:lang w:eastAsia="en-US"/>
              </w:rPr>
              <w:t xml:space="preserve"> </w:t>
            </w:r>
            <w:r w:rsidRPr="00804198">
              <w:rPr>
                <w:rFonts w:eastAsia="Calibri"/>
                <w:sz w:val="26"/>
                <w:szCs w:val="26"/>
                <w:lang w:eastAsia="en-US"/>
              </w:rPr>
              <w:t>Междуреченский</w:t>
            </w:r>
          </w:p>
        </w:tc>
        <w:tc>
          <w:tcPr>
            <w:tcW w:w="898" w:type="pct"/>
            <w:shd w:val="clear" w:color="auto" w:fill="auto"/>
          </w:tcPr>
          <w:p w:rsidR="00D96714" w:rsidRPr="00804198" w:rsidRDefault="00D96714" w:rsidP="00804198">
            <w:pPr>
              <w:jc w:val="center"/>
              <w:rPr>
                <w:sz w:val="26"/>
                <w:szCs w:val="26"/>
              </w:rPr>
            </w:pPr>
            <w:r w:rsidRPr="00804198">
              <w:rPr>
                <w:sz w:val="26"/>
                <w:szCs w:val="26"/>
              </w:rPr>
              <w:t>Нежилое</w:t>
            </w:r>
          </w:p>
          <w:p w:rsidR="00D96714" w:rsidRPr="00804198" w:rsidRDefault="00D96714" w:rsidP="00804198">
            <w:pPr>
              <w:jc w:val="center"/>
              <w:rPr>
                <w:sz w:val="26"/>
                <w:szCs w:val="26"/>
              </w:rPr>
            </w:pPr>
          </w:p>
        </w:tc>
      </w:tr>
      <w:tr w:rsidR="00D96714" w:rsidRPr="00804198" w:rsidTr="00804198">
        <w:trPr>
          <w:trHeight w:val="68"/>
        </w:trPr>
        <w:tc>
          <w:tcPr>
            <w:tcW w:w="286" w:type="pct"/>
            <w:shd w:val="clear" w:color="auto" w:fill="auto"/>
          </w:tcPr>
          <w:p w:rsidR="00D96714" w:rsidRPr="00804198" w:rsidRDefault="00D96714" w:rsidP="00804198">
            <w:pPr>
              <w:pStyle w:val="aff8"/>
              <w:tabs>
                <w:tab w:val="left" w:pos="709"/>
              </w:tabs>
              <w:jc w:val="center"/>
              <w:rPr>
                <w:sz w:val="26"/>
                <w:szCs w:val="26"/>
              </w:rPr>
            </w:pPr>
            <w:r w:rsidRPr="00804198">
              <w:rPr>
                <w:sz w:val="26"/>
                <w:szCs w:val="26"/>
              </w:rPr>
              <w:t>4.</w:t>
            </w:r>
          </w:p>
        </w:tc>
        <w:tc>
          <w:tcPr>
            <w:tcW w:w="2352" w:type="pct"/>
            <w:shd w:val="clear" w:color="auto" w:fill="auto"/>
          </w:tcPr>
          <w:p w:rsidR="00D96714" w:rsidRPr="00804198" w:rsidRDefault="00D96714" w:rsidP="007F7DD0">
            <w:pPr>
              <w:tabs>
                <w:tab w:val="left" w:pos="0"/>
              </w:tabs>
              <w:spacing w:after="200" w:line="0" w:lineRule="atLeast"/>
              <w:rPr>
                <w:rFonts w:eastAsia="Calibri"/>
                <w:sz w:val="26"/>
                <w:szCs w:val="26"/>
                <w:lang w:eastAsia="en-US"/>
              </w:rPr>
            </w:pPr>
            <w:r w:rsidRPr="00804198">
              <w:rPr>
                <w:rFonts w:eastAsia="Calibri"/>
                <w:sz w:val="26"/>
                <w:szCs w:val="26"/>
                <w:lang w:eastAsia="en-US"/>
              </w:rPr>
              <w:t xml:space="preserve">Здание, назначение, нежилое, площадь: 169,7 кв. м, кадастровый </w:t>
            </w:r>
            <w:r w:rsidRPr="00804198">
              <w:rPr>
                <w:rFonts w:eastAsia="Calibri"/>
                <w:sz w:val="26"/>
                <w:szCs w:val="26"/>
                <w:lang w:eastAsia="en-US"/>
              </w:rPr>
              <w:lastRenderedPageBreak/>
              <w:t>номер 86:01:0501001:4029, с оборудованием в составе: труба дымовая металлическая d=530 - 28 м.</w:t>
            </w:r>
            <w:proofErr w:type="gramStart"/>
            <w:r w:rsidRPr="00804198">
              <w:rPr>
                <w:rFonts w:eastAsia="Calibri"/>
                <w:sz w:val="26"/>
                <w:szCs w:val="26"/>
                <w:lang w:eastAsia="en-US"/>
              </w:rPr>
              <w:t>;-</w:t>
            </w:r>
            <w:proofErr w:type="gramEnd"/>
            <w:r w:rsidRPr="00804198">
              <w:rPr>
                <w:rFonts w:eastAsia="Calibri"/>
                <w:sz w:val="26"/>
                <w:szCs w:val="26"/>
                <w:lang w:eastAsia="en-US"/>
              </w:rPr>
              <w:t xml:space="preserve">Дымосос-2 шт.-; ;Щит управления дымососами-1 шт.; Мазутная горелка Ecostar ECO 60 O(S)C2-3 шт.; Щит управления мазутной горелкой ECO 60 O(S)C2-3 шт.; Топливоподогрев 7 Квт для Ecostar ECO 60 O(S)C2-3 шт.; </w:t>
            </w:r>
            <w:proofErr w:type="gramStart"/>
            <w:r w:rsidRPr="00804198">
              <w:rPr>
                <w:rFonts w:eastAsia="Calibri"/>
                <w:sz w:val="26"/>
                <w:szCs w:val="26"/>
                <w:lang w:eastAsia="en-US"/>
              </w:rPr>
              <w:t>Насос нефти для Ecostar ECO 60 O(S)C2-2 шт.; Щит управления насосом и топлиподогревом для Ecostar ECO 60 O(S)C2-3 шт.; Фильтр нефти -1 шт.; Расходомер-счётчик жидкости ультразвуковой Карат-РС зав. №11593716-1 шт.; Щит управления расходомером Карат-РС-1 шт.; Котёл КВа 1.74 МВт, зав. №2531-1 шт.; Котёл КВа 1.74 МВт, зав. №2553-1 шт.; Котёл КВа 1.74 МВт, зав. №2530-1 шт</w:t>
            </w:r>
            <w:proofErr w:type="gramEnd"/>
            <w:r w:rsidRPr="00804198">
              <w:rPr>
                <w:rFonts w:eastAsia="Calibri"/>
                <w:sz w:val="26"/>
                <w:szCs w:val="26"/>
                <w:lang w:eastAsia="en-US"/>
              </w:rPr>
              <w:t xml:space="preserve">.; Щит управления </w:t>
            </w:r>
            <w:proofErr w:type="gramStart"/>
            <w:r w:rsidRPr="00804198">
              <w:rPr>
                <w:rFonts w:eastAsia="Calibri"/>
                <w:sz w:val="26"/>
                <w:szCs w:val="26"/>
                <w:lang w:eastAsia="en-US"/>
              </w:rPr>
              <w:t>сетевыми</w:t>
            </w:r>
            <w:proofErr w:type="gramEnd"/>
            <w:r w:rsidRPr="00804198">
              <w:rPr>
                <w:rFonts w:eastAsia="Calibri"/>
                <w:sz w:val="26"/>
                <w:szCs w:val="26"/>
                <w:lang w:eastAsia="en-US"/>
              </w:rPr>
              <w:t xml:space="preserve"> насосами-1 шт.; Щит управления топливным насосом, подпиткой и вентилятором-1 шт.; система водоподготовки -1 шт.; Дизель К-169М2, агрегат ДГМА100М2-2,№ 2011422-1 шт.; </w:t>
            </w:r>
          </w:p>
          <w:p w:rsidR="00D96714" w:rsidRPr="00804198" w:rsidRDefault="00D96714" w:rsidP="00804198">
            <w:pPr>
              <w:tabs>
                <w:tab w:val="left" w:pos="0"/>
              </w:tabs>
              <w:spacing w:line="0" w:lineRule="atLeast"/>
              <w:rPr>
                <w:rFonts w:eastAsia="Calibri"/>
                <w:sz w:val="26"/>
                <w:szCs w:val="26"/>
                <w:lang w:eastAsia="en-US"/>
              </w:rPr>
            </w:pPr>
            <w:r w:rsidRPr="00804198">
              <w:rPr>
                <w:rFonts w:eastAsia="Calibri"/>
                <w:sz w:val="26"/>
                <w:szCs w:val="26"/>
                <w:lang w:eastAsia="en-US"/>
              </w:rPr>
              <w:t>земельный участок, кадастровый номер 86:01:0501001:4827, площадью 854 м</w:t>
            </w:r>
            <w:proofErr w:type="gramStart"/>
            <w:r w:rsidRPr="00804198">
              <w:rPr>
                <w:rFonts w:eastAsia="Calibri"/>
                <w:sz w:val="26"/>
                <w:szCs w:val="26"/>
                <w:vertAlign w:val="superscript"/>
                <w:lang w:eastAsia="en-US"/>
              </w:rPr>
              <w:t>2</w:t>
            </w:r>
            <w:proofErr w:type="gramEnd"/>
          </w:p>
        </w:tc>
        <w:tc>
          <w:tcPr>
            <w:tcW w:w="1464" w:type="pct"/>
            <w:shd w:val="clear" w:color="auto" w:fill="auto"/>
          </w:tcPr>
          <w:p w:rsidR="00D96714" w:rsidRPr="00804198" w:rsidRDefault="00D96714" w:rsidP="00804198">
            <w:pPr>
              <w:jc w:val="center"/>
              <w:rPr>
                <w:sz w:val="26"/>
                <w:szCs w:val="26"/>
              </w:rPr>
            </w:pPr>
            <w:r w:rsidRPr="00804198">
              <w:rPr>
                <w:rFonts w:eastAsia="Calibri"/>
                <w:sz w:val="26"/>
                <w:szCs w:val="26"/>
                <w:lang w:eastAsia="en-US"/>
              </w:rPr>
              <w:lastRenderedPageBreak/>
              <w:t>Ханты-Мансийский автономный округ-</w:t>
            </w:r>
            <w:r w:rsidRPr="00804198">
              <w:rPr>
                <w:rFonts w:eastAsia="Calibri"/>
                <w:sz w:val="26"/>
                <w:szCs w:val="26"/>
                <w:lang w:eastAsia="en-US"/>
              </w:rPr>
              <w:lastRenderedPageBreak/>
              <w:t>Югра, Кондинский район, пгт. Мортка пер. Пушкина, 1</w:t>
            </w:r>
          </w:p>
        </w:tc>
        <w:tc>
          <w:tcPr>
            <w:tcW w:w="898" w:type="pct"/>
            <w:shd w:val="clear" w:color="auto" w:fill="auto"/>
          </w:tcPr>
          <w:p w:rsidR="00D96714" w:rsidRPr="00804198" w:rsidRDefault="00D96714" w:rsidP="00804198">
            <w:pPr>
              <w:jc w:val="center"/>
              <w:rPr>
                <w:sz w:val="26"/>
                <w:szCs w:val="26"/>
              </w:rPr>
            </w:pPr>
            <w:r w:rsidRPr="00804198">
              <w:rPr>
                <w:sz w:val="26"/>
                <w:szCs w:val="26"/>
              </w:rPr>
              <w:lastRenderedPageBreak/>
              <w:t>Нежилое</w:t>
            </w:r>
          </w:p>
          <w:p w:rsidR="00D96714" w:rsidRPr="00804198" w:rsidRDefault="00D96714" w:rsidP="00804198">
            <w:pPr>
              <w:jc w:val="center"/>
              <w:rPr>
                <w:sz w:val="26"/>
                <w:szCs w:val="26"/>
              </w:rPr>
            </w:pPr>
          </w:p>
        </w:tc>
      </w:tr>
      <w:tr w:rsidR="00D96714" w:rsidRPr="00804198" w:rsidTr="00804198">
        <w:trPr>
          <w:trHeight w:val="68"/>
        </w:trPr>
        <w:tc>
          <w:tcPr>
            <w:tcW w:w="286" w:type="pct"/>
            <w:shd w:val="clear" w:color="auto" w:fill="auto"/>
          </w:tcPr>
          <w:p w:rsidR="00D96714" w:rsidRPr="00804198" w:rsidRDefault="00D96714" w:rsidP="00804198">
            <w:pPr>
              <w:pStyle w:val="aff8"/>
              <w:tabs>
                <w:tab w:val="left" w:pos="709"/>
              </w:tabs>
              <w:jc w:val="center"/>
              <w:rPr>
                <w:sz w:val="26"/>
                <w:szCs w:val="26"/>
              </w:rPr>
            </w:pPr>
            <w:r w:rsidRPr="00804198">
              <w:rPr>
                <w:sz w:val="26"/>
                <w:szCs w:val="26"/>
              </w:rPr>
              <w:lastRenderedPageBreak/>
              <w:t>5</w:t>
            </w:r>
            <w:r w:rsidR="00804198">
              <w:rPr>
                <w:sz w:val="26"/>
                <w:szCs w:val="26"/>
              </w:rPr>
              <w:t>.</w:t>
            </w:r>
          </w:p>
        </w:tc>
        <w:tc>
          <w:tcPr>
            <w:tcW w:w="2352" w:type="pct"/>
            <w:shd w:val="clear" w:color="auto" w:fill="auto"/>
          </w:tcPr>
          <w:p w:rsidR="00D96714" w:rsidRPr="00804198" w:rsidRDefault="00D96714" w:rsidP="007F7DD0">
            <w:pPr>
              <w:tabs>
                <w:tab w:val="left" w:pos="0"/>
              </w:tabs>
              <w:spacing w:after="200" w:line="0" w:lineRule="atLeast"/>
              <w:rPr>
                <w:rFonts w:eastAsia="Calibri"/>
                <w:sz w:val="26"/>
                <w:szCs w:val="26"/>
                <w:lang w:eastAsia="en-US"/>
              </w:rPr>
            </w:pPr>
            <w:r w:rsidRPr="00804198">
              <w:rPr>
                <w:rFonts w:eastAsia="Calibri"/>
                <w:sz w:val="26"/>
                <w:szCs w:val="26"/>
                <w:lang w:eastAsia="en-US"/>
              </w:rPr>
              <w:t>Здание, назначение, нежилое, площадь: 116,4 кв. м., кадастровый номер 86:01:0501001:2519, с оборудованием в составе: Труба дымовая металлическая d=530 - 20 м.; Щит управления дымососами, подпиточными и сетевыми насосами ЩС-2 - 1 шт.</w:t>
            </w:r>
            <w:proofErr w:type="gramStart"/>
            <w:r w:rsidRPr="00804198">
              <w:rPr>
                <w:rFonts w:eastAsia="Calibri"/>
                <w:sz w:val="26"/>
                <w:szCs w:val="26"/>
                <w:lang w:eastAsia="en-US"/>
              </w:rPr>
              <w:t xml:space="preserve"> ;</w:t>
            </w:r>
            <w:proofErr w:type="gramEnd"/>
            <w:r w:rsidRPr="00804198">
              <w:rPr>
                <w:rFonts w:eastAsia="Calibri"/>
                <w:sz w:val="26"/>
                <w:szCs w:val="26"/>
                <w:lang w:eastAsia="en-US"/>
              </w:rPr>
              <w:t xml:space="preserve"> Тепловычислитель ЭЛЬФ-01, зав. №96903410 - 1 шт.; Расходомер-счётчик жидкости ультразвуковой Карат-РС зав. № 65530910 - 1 шт.; Расходомер-счётчик жидкости ультразвуковой Карат-РС без зав.№  - 1 шт.; Щит управления прибором учёта ЩС-1 - 1 шт.; Котёл КВ 1.74 МВт, зав. №1120 - 1 шт.; Котёл КВ 1.74 МВт, зав. №1235 - 1 шт.; Котёл КВ 1.74 МВт, зав. №1229 - </w:t>
            </w:r>
            <w:r w:rsidRPr="00804198">
              <w:rPr>
                <w:rFonts w:eastAsia="Calibri"/>
                <w:sz w:val="26"/>
                <w:szCs w:val="26"/>
                <w:lang w:eastAsia="en-US"/>
              </w:rPr>
              <w:lastRenderedPageBreak/>
              <w:t>1 шт.; Система пожарной сигнализации ГРАНИТ-4 с РИП-12 - 1 шт.</w:t>
            </w:r>
          </w:p>
          <w:p w:rsidR="00D96714" w:rsidRPr="00804198" w:rsidRDefault="00D96714" w:rsidP="00804198">
            <w:pPr>
              <w:tabs>
                <w:tab w:val="left" w:pos="0"/>
              </w:tabs>
              <w:spacing w:line="0" w:lineRule="atLeast"/>
              <w:rPr>
                <w:rFonts w:eastAsia="Calibri"/>
                <w:sz w:val="26"/>
                <w:szCs w:val="26"/>
                <w:lang w:eastAsia="en-US"/>
              </w:rPr>
            </w:pPr>
            <w:r w:rsidRPr="00804198">
              <w:rPr>
                <w:rFonts w:eastAsia="Calibri"/>
                <w:sz w:val="26"/>
                <w:szCs w:val="26"/>
                <w:lang w:eastAsia="en-US"/>
              </w:rPr>
              <w:t>земельный участок, кадастровый номер 86:01:0501001:4826, площадью 1070 м</w:t>
            </w:r>
            <w:proofErr w:type="gramStart"/>
            <w:r w:rsidRPr="00804198">
              <w:rPr>
                <w:rFonts w:eastAsia="Calibri"/>
                <w:sz w:val="26"/>
                <w:szCs w:val="26"/>
                <w:lang w:eastAsia="en-US"/>
              </w:rPr>
              <w:t>2</w:t>
            </w:r>
            <w:proofErr w:type="gramEnd"/>
          </w:p>
        </w:tc>
        <w:tc>
          <w:tcPr>
            <w:tcW w:w="1464" w:type="pct"/>
            <w:shd w:val="clear" w:color="auto" w:fill="auto"/>
          </w:tcPr>
          <w:p w:rsidR="00D96714" w:rsidRPr="00804198" w:rsidRDefault="00D96714" w:rsidP="00804198">
            <w:pPr>
              <w:jc w:val="center"/>
              <w:rPr>
                <w:rFonts w:eastAsia="Calibri"/>
                <w:sz w:val="26"/>
                <w:szCs w:val="26"/>
                <w:lang w:eastAsia="en-US"/>
              </w:rPr>
            </w:pPr>
            <w:r w:rsidRPr="00804198">
              <w:rPr>
                <w:rFonts w:eastAsia="Calibri"/>
                <w:sz w:val="26"/>
                <w:szCs w:val="26"/>
                <w:lang w:eastAsia="en-US"/>
              </w:rPr>
              <w:lastRenderedPageBreak/>
              <w:t>Ханты-Мансийский автономный округ-Югра, Кондинский район, пгт. Мортка пер. Спортивный, 6А.</w:t>
            </w:r>
          </w:p>
        </w:tc>
        <w:tc>
          <w:tcPr>
            <w:tcW w:w="898" w:type="pct"/>
            <w:shd w:val="clear" w:color="auto" w:fill="auto"/>
          </w:tcPr>
          <w:p w:rsidR="00D96714" w:rsidRPr="00804198" w:rsidRDefault="00D96714" w:rsidP="00804198">
            <w:pPr>
              <w:jc w:val="center"/>
              <w:rPr>
                <w:sz w:val="26"/>
                <w:szCs w:val="26"/>
              </w:rPr>
            </w:pPr>
            <w:r w:rsidRPr="00804198">
              <w:rPr>
                <w:sz w:val="26"/>
                <w:szCs w:val="26"/>
              </w:rPr>
              <w:t>Нежилое</w:t>
            </w:r>
          </w:p>
          <w:p w:rsidR="00D96714" w:rsidRPr="00804198" w:rsidRDefault="00D96714" w:rsidP="00804198">
            <w:pPr>
              <w:jc w:val="center"/>
              <w:rPr>
                <w:sz w:val="26"/>
                <w:szCs w:val="26"/>
              </w:rPr>
            </w:pPr>
          </w:p>
        </w:tc>
      </w:tr>
    </w:tbl>
    <w:p w:rsidR="00D96714" w:rsidRPr="00804198" w:rsidRDefault="00D96714" w:rsidP="00804198">
      <w:pPr>
        <w:pStyle w:val="aff8"/>
        <w:tabs>
          <w:tab w:val="left" w:pos="709"/>
        </w:tabs>
        <w:spacing w:after="0"/>
        <w:rPr>
          <w:sz w:val="26"/>
          <w:szCs w:val="26"/>
        </w:rPr>
      </w:pPr>
      <w:r w:rsidRPr="00804198">
        <w:rPr>
          <w:sz w:val="26"/>
          <w:szCs w:val="26"/>
        </w:rPr>
        <w:lastRenderedPageBreak/>
        <w:t xml:space="preserve">      </w:t>
      </w:r>
      <w:r w:rsidR="00804198">
        <w:rPr>
          <w:sz w:val="26"/>
          <w:szCs w:val="26"/>
        </w:rPr>
        <w:t xml:space="preserve">  </w:t>
      </w:r>
      <w:r w:rsidRPr="00804198">
        <w:rPr>
          <w:sz w:val="26"/>
          <w:szCs w:val="26"/>
        </w:rPr>
        <w:t xml:space="preserve">                                                                                                                                    ».</w:t>
      </w:r>
    </w:p>
    <w:p w:rsidR="00D96714" w:rsidRPr="00804198" w:rsidRDefault="00804198" w:rsidP="00804198">
      <w:pPr>
        <w:pStyle w:val="aff8"/>
        <w:tabs>
          <w:tab w:val="left" w:pos="709"/>
        </w:tabs>
        <w:spacing w:after="0"/>
        <w:ind w:firstLine="709"/>
        <w:jc w:val="both"/>
        <w:rPr>
          <w:sz w:val="26"/>
          <w:szCs w:val="26"/>
        </w:rPr>
      </w:pPr>
      <w:r>
        <w:rPr>
          <w:sz w:val="26"/>
          <w:szCs w:val="26"/>
        </w:rPr>
        <w:t>1.3.</w:t>
      </w:r>
      <w:r w:rsidR="00D96714" w:rsidRPr="00804198">
        <w:rPr>
          <w:sz w:val="26"/>
          <w:szCs w:val="26"/>
        </w:rPr>
        <w:t xml:space="preserve"> </w:t>
      </w:r>
      <w:r w:rsidRPr="00804198">
        <w:rPr>
          <w:sz w:val="26"/>
          <w:szCs w:val="26"/>
        </w:rPr>
        <w:t xml:space="preserve">Пункт </w:t>
      </w:r>
      <w:r w:rsidR="00D96714" w:rsidRPr="00804198">
        <w:rPr>
          <w:sz w:val="26"/>
          <w:szCs w:val="26"/>
        </w:rPr>
        <w:t xml:space="preserve">6.1 статьи 6 изложить в следующей редакции:  </w:t>
      </w:r>
    </w:p>
    <w:p w:rsidR="00D96714" w:rsidRPr="00804198" w:rsidRDefault="00D96714" w:rsidP="00804198">
      <w:pPr>
        <w:pStyle w:val="aff8"/>
        <w:tabs>
          <w:tab w:val="left" w:pos="709"/>
        </w:tabs>
        <w:spacing w:after="0"/>
        <w:ind w:firstLine="709"/>
        <w:jc w:val="both"/>
        <w:rPr>
          <w:sz w:val="26"/>
          <w:szCs w:val="26"/>
        </w:rPr>
      </w:pPr>
      <w:r w:rsidRPr="00804198">
        <w:rPr>
          <w:sz w:val="26"/>
          <w:szCs w:val="26"/>
        </w:rPr>
        <w:t>«6.1.</w:t>
      </w:r>
      <w:r w:rsidRPr="00804198">
        <w:rPr>
          <w:sz w:val="26"/>
          <w:szCs w:val="26"/>
        </w:rPr>
        <w:tab/>
        <w:t>Размер предполагаемых доходов от приватизации муниципального имущества, включенного в Перечень, в 2024 году составит 2 300,0 тыс. рублей; в 2025 году составит 10 000 тыс. рублей;  в 2026 году составит 800 тыс. рублей</w:t>
      </w:r>
      <w:proofErr w:type="gramStart"/>
      <w:r w:rsidRPr="00804198">
        <w:rPr>
          <w:sz w:val="26"/>
          <w:szCs w:val="26"/>
        </w:rPr>
        <w:t>.».</w:t>
      </w:r>
      <w:proofErr w:type="gramEnd"/>
    </w:p>
    <w:p w:rsidR="00D96714" w:rsidRPr="00804198" w:rsidRDefault="00D96714" w:rsidP="00804198">
      <w:pPr>
        <w:pStyle w:val="aff8"/>
        <w:tabs>
          <w:tab w:val="left" w:pos="709"/>
        </w:tabs>
        <w:spacing w:after="0"/>
        <w:ind w:firstLine="709"/>
        <w:jc w:val="both"/>
        <w:rPr>
          <w:sz w:val="26"/>
          <w:szCs w:val="26"/>
        </w:rPr>
      </w:pPr>
      <w:r w:rsidRPr="00804198">
        <w:rPr>
          <w:sz w:val="26"/>
          <w:szCs w:val="26"/>
        </w:rPr>
        <w:t>2. Настоящее решение разместить на официальном сайте органов местного самоуправления Кондинского района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D96714" w:rsidRPr="00804198" w:rsidRDefault="00D96714" w:rsidP="00804198">
      <w:pPr>
        <w:jc w:val="both"/>
        <w:rPr>
          <w:sz w:val="26"/>
          <w:szCs w:val="26"/>
        </w:rPr>
      </w:pPr>
      <w:r w:rsidRPr="00804198">
        <w:rPr>
          <w:sz w:val="26"/>
          <w:szCs w:val="26"/>
        </w:rPr>
        <w:tab/>
        <w:t>3. Настоящее решение вступает в силу после его подписания.</w:t>
      </w:r>
      <w:r w:rsidRPr="00804198">
        <w:rPr>
          <w:sz w:val="26"/>
          <w:szCs w:val="26"/>
        </w:rPr>
        <w:tab/>
      </w:r>
    </w:p>
    <w:p w:rsidR="00D96714" w:rsidRPr="00804198" w:rsidRDefault="00D96714" w:rsidP="00804198">
      <w:pPr>
        <w:jc w:val="both"/>
        <w:rPr>
          <w:sz w:val="26"/>
          <w:szCs w:val="26"/>
        </w:rPr>
      </w:pPr>
      <w:r w:rsidRPr="00804198">
        <w:rPr>
          <w:sz w:val="26"/>
          <w:szCs w:val="26"/>
        </w:rPr>
        <w:t xml:space="preserve">           4. </w:t>
      </w:r>
      <w:proofErr w:type="gramStart"/>
      <w:r w:rsidRPr="00804198">
        <w:rPr>
          <w:sz w:val="26"/>
          <w:szCs w:val="26"/>
        </w:rPr>
        <w:t>Контроль за</w:t>
      </w:r>
      <w:proofErr w:type="gramEnd"/>
      <w:r w:rsidRPr="00804198">
        <w:rPr>
          <w:sz w:val="26"/>
          <w:szCs w:val="26"/>
        </w:rPr>
        <w:t xml:space="preserve"> выполнением настоящего решения возложить на главу Кондинского района А.А.</w:t>
      </w:r>
      <w:r w:rsidR="00804198">
        <w:rPr>
          <w:sz w:val="26"/>
          <w:szCs w:val="26"/>
        </w:rPr>
        <w:t xml:space="preserve"> </w:t>
      </w:r>
      <w:r w:rsidRPr="00804198">
        <w:rPr>
          <w:sz w:val="26"/>
          <w:szCs w:val="26"/>
        </w:rPr>
        <w:t>Мухина.</w:t>
      </w:r>
    </w:p>
    <w:p w:rsidR="00393176" w:rsidRDefault="00393176" w:rsidP="00FA2D94">
      <w:pPr>
        <w:spacing w:line="0" w:lineRule="atLeast"/>
        <w:ind w:firstLine="360"/>
        <w:jc w:val="center"/>
        <w:rPr>
          <w:b/>
        </w:rPr>
      </w:pPr>
    </w:p>
    <w:p w:rsidR="002F6371" w:rsidRDefault="002F6371" w:rsidP="00FA2D94">
      <w:pPr>
        <w:spacing w:line="0" w:lineRule="atLeast"/>
        <w:ind w:firstLine="360"/>
        <w:jc w:val="center"/>
        <w:rPr>
          <w:b/>
        </w:rPr>
      </w:pPr>
    </w:p>
    <w:p w:rsidR="002F6371" w:rsidRPr="00295D54" w:rsidRDefault="002F6371" w:rsidP="00FA2D94">
      <w:pPr>
        <w:spacing w:line="0" w:lineRule="atLeast"/>
        <w:ind w:firstLine="360"/>
        <w:jc w:val="center"/>
        <w:rPr>
          <w:b/>
        </w:rPr>
      </w:pPr>
    </w:p>
    <w:p w:rsidR="00FA2D94" w:rsidRPr="00804198" w:rsidRDefault="00FA2D94" w:rsidP="00FA2D94">
      <w:pPr>
        <w:jc w:val="both"/>
        <w:rPr>
          <w:sz w:val="26"/>
          <w:szCs w:val="26"/>
        </w:rPr>
      </w:pPr>
      <w:r w:rsidRPr="00804198">
        <w:rPr>
          <w:sz w:val="26"/>
          <w:szCs w:val="26"/>
        </w:rPr>
        <w:t>Председатель Думы Кондинского района</w:t>
      </w:r>
      <w:r w:rsidRPr="00804198">
        <w:rPr>
          <w:sz w:val="26"/>
          <w:szCs w:val="26"/>
        </w:rPr>
        <w:tab/>
        <w:t xml:space="preserve">     </w:t>
      </w:r>
      <w:r w:rsidR="007D2ED4" w:rsidRPr="00804198">
        <w:rPr>
          <w:sz w:val="26"/>
          <w:szCs w:val="26"/>
        </w:rPr>
        <w:t xml:space="preserve">        </w:t>
      </w:r>
      <w:r w:rsidRPr="00804198">
        <w:rPr>
          <w:sz w:val="26"/>
          <w:szCs w:val="26"/>
        </w:rPr>
        <w:t xml:space="preserve"> </w:t>
      </w:r>
      <w:r w:rsidR="00295D54" w:rsidRPr="00804198">
        <w:rPr>
          <w:sz w:val="26"/>
          <w:szCs w:val="26"/>
        </w:rPr>
        <w:t xml:space="preserve">                      </w:t>
      </w:r>
      <w:r w:rsidR="00804198">
        <w:rPr>
          <w:sz w:val="26"/>
          <w:szCs w:val="26"/>
        </w:rPr>
        <w:t xml:space="preserve">     </w:t>
      </w:r>
      <w:r w:rsidR="00295D54" w:rsidRPr="00804198">
        <w:rPr>
          <w:sz w:val="26"/>
          <w:szCs w:val="26"/>
        </w:rPr>
        <w:t xml:space="preserve"> </w:t>
      </w:r>
      <w:r w:rsidRPr="00804198">
        <w:rPr>
          <w:sz w:val="26"/>
          <w:szCs w:val="26"/>
        </w:rPr>
        <w:t xml:space="preserve"> Р.В. Бринстер</w:t>
      </w:r>
    </w:p>
    <w:p w:rsidR="00295D54" w:rsidRPr="00804198" w:rsidRDefault="00295D54" w:rsidP="00FA2D94">
      <w:pPr>
        <w:tabs>
          <w:tab w:val="center" w:pos="8647"/>
        </w:tabs>
        <w:ind w:firstLine="709"/>
        <w:jc w:val="both"/>
        <w:rPr>
          <w:sz w:val="26"/>
          <w:szCs w:val="26"/>
        </w:rPr>
      </w:pPr>
    </w:p>
    <w:p w:rsidR="002F6371" w:rsidRPr="00804198" w:rsidRDefault="002F6371" w:rsidP="00FA2D94">
      <w:pPr>
        <w:tabs>
          <w:tab w:val="center" w:pos="8647"/>
        </w:tabs>
        <w:ind w:firstLine="709"/>
        <w:jc w:val="both"/>
        <w:rPr>
          <w:sz w:val="26"/>
          <w:szCs w:val="26"/>
        </w:rPr>
      </w:pPr>
    </w:p>
    <w:p w:rsidR="000254C0" w:rsidRPr="00804198" w:rsidRDefault="000254C0" w:rsidP="00FA2D94">
      <w:pPr>
        <w:jc w:val="both"/>
        <w:rPr>
          <w:sz w:val="26"/>
          <w:szCs w:val="26"/>
        </w:rPr>
      </w:pPr>
    </w:p>
    <w:p w:rsidR="002F6371" w:rsidRPr="00804198" w:rsidRDefault="002F6371" w:rsidP="00FA2D94">
      <w:pPr>
        <w:jc w:val="both"/>
        <w:rPr>
          <w:sz w:val="26"/>
          <w:szCs w:val="26"/>
        </w:rPr>
      </w:pPr>
    </w:p>
    <w:p w:rsidR="005D5321" w:rsidRPr="00804198" w:rsidRDefault="005D5321" w:rsidP="00FA2D94">
      <w:pPr>
        <w:jc w:val="both"/>
        <w:rPr>
          <w:sz w:val="26"/>
          <w:szCs w:val="26"/>
        </w:rPr>
      </w:pPr>
    </w:p>
    <w:p w:rsidR="005D5321" w:rsidRPr="00804198" w:rsidRDefault="005D5321" w:rsidP="00FA2D94">
      <w:pPr>
        <w:jc w:val="both"/>
        <w:rPr>
          <w:sz w:val="26"/>
          <w:szCs w:val="26"/>
        </w:rPr>
      </w:pPr>
    </w:p>
    <w:p w:rsidR="005D5321" w:rsidRPr="00804198" w:rsidRDefault="005D5321" w:rsidP="00FA2D94">
      <w:pPr>
        <w:jc w:val="both"/>
        <w:rPr>
          <w:sz w:val="26"/>
          <w:szCs w:val="26"/>
        </w:rPr>
      </w:pPr>
    </w:p>
    <w:p w:rsidR="005D5321" w:rsidRPr="00804198" w:rsidRDefault="005D5321" w:rsidP="00FA2D94">
      <w:pPr>
        <w:jc w:val="both"/>
        <w:rPr>
          <w:sz w:val="26"/>
          <w:szCs w:val="26"/>
        </w:rPr>
      </w:pPr>
    </w:p>
    <w:p w:rsidR="005D5321" w:rsidRPr="00804198" w:rsidRDefault="005D5321" w:rsidP="00FA2D94">
      <w:pPr>
        <w:jc w:val="both"/>
        <w:rPr>
          <w:sz w:val="26"/>
          <w:szCs w:val="26"/>
        </w:rPr>
      </w:pPr>
    </w:p>
    <w:p w:rsidR="005D5321" w:rsidRPr="00804198" w:rsidRDefault="005D5321" w:rsidP="00FA2D94">
      <w:pPr>
        <w:jc w:val="both"/>
        <w:rPr>
          <w:sz w:val="26"/>
          <w:szCs w:val="26"/>
        </w:rPr>
      </w:pPr>
    </w:p>
    <w:p w:rsidR="005D5321" w:rsidRPr="00804198" w:rsidRDefault="005D5321" w:rsidP="00FA2D94">
      <w:pPr>
        <w:jc w:val="both"/>
        <w:rPr>
          <w:sz w:val="26"/>
          <w:szCs w:val="26"/>
        </w:rPr>
      </w:pPr>
    </w:p>
    <w:p w:rsidR="005D5321" w:rsidRPr="00804198" w:rsidRDefault="005D5321" w:rsidP="00FA2D94">
      <w:pPr>
        <w:jc w:val="both"/>
        <w:rPr>
          <w:sz w:val="26"/>
          <w:szCs w:val="26"/>
        </w:rPr>
      </w:pPr>
    </w:p>
    <w:p w:rsidR="005D5321" w:rsidRPr="00804198" w:rsidRDefault="005D5321" w:rsidP="00FA2D94">
      <w:pPr>
        <w:jc w:val="both"/>
        <w:rPr>
          <w:sz w:val="26"/>
          <w:szCs w:val="26"/>
        </w:rPr>
      </w:pPr>
    </w:p>
    <w:p w:rsidR="005D5321" w:rsidRDefault="005D5321" w:rsidP="00FA2D94">
      <w:pPr>
        <w:jc w:val="both"/>
        <w:rPr>
          <w:sz w:val="26"/>
          <w:szCs w:val="26"/>
        </w:rPr>
      </w:pPr>
    </w:p>
    <w:p w:rsidR="00300445" w:rsidRDefault="00300445" w:rsidP="00FA2D94">
      <w:pPr>
        <w:jc w:val="both"/>
        <w:rPr>
          <w:sz w:val="26"/>
          <w:szCs w:val="26"/>
        </w:rPr>
      </w:pPr>
    </w:p>
    <w:p w:rsidR="00300445" w:rsidRDefault="00300445" w:rsidP="00FA2D94">
      <w:pPr>
        <w:jc w:val="both"/>
        <w:rPr>
          <w:sz w:val="26"/>
          <w:szCs w:val="26"/>
        </w:rPr>
      </w:pPr>
    </w:p>
    <w:p w:rsidR="00300445" w:rsidRDefault="00300445" w:rsidP="00FA2D94">
      <w:pPr>
        <w:jc w:val="both"/>
        <w:rPr>
          <w:sz w:val="26"/>
          <w:szCs w:val="26"/>
        </w:rPr>
      </w:pPr>
    </w:p>
    <w:p w:rsidR="00300445" w:rsidRDefault="00300445" w:rsidP="00FA2D94">
      <w:pPr>
        <w:jc w:val="both"/>
        <w:rPr>
          <w:sz w:val="26"/>
          <w:szCs w:val="26"/>
        </w:rPr>
      </w:pPr>
    </w:p>
    <w:p w:rsidR="00300445" w:rsidRDefault="00300445" w:rsidP="00FA2D94">
      <w:pPr>
        <w:jc w:val="both"/>
        <w:rPr>
          <w:sz w:val="26"/>
          <w:szCs w:val="26"/>
        </w:rPr>
      </w:pPr>
    </w:p>
    <w:p w:rsidR="00300445" w:rsidRDefault="00300445" w:rsidP="00FA2D94">
      <w:pPr>
        <w:jc w:val="both"/>
        <w:rPr>
          <w:sz w:val="26"/>
          <w:szCs w:val="26"/>
        </w:rPr>
      </w:pPr>
    </w:p>
    <w:p w:rsidR="00300445" w:rsidRDefault="00300445" w:rsidP="00FA2D94">
      <w:pPr>
        <w:jc w:val="both"/>
        <w:rPr>
          <w:sz w:val="26"/>
          <w:szCs w:val="26"/>
        </w:rPr>
      </w:pPr>
    </w:p>
    <w:p w:rsidR="00300445" w:rsidRPr="00804198" w:rsidRDefault="00300445" w:rsidP="00FA2D94">
      <w:pPr>
        <w:jc w:val="both"/>
        <w:rPr>
          <w:sz w:val="26"/>
          <w:szCs w:val="26"/>
        </w:rPr>
      </w:pPr>
    </w:p>
    <w:p w:rsidR="002F6371" w:rsidRPr="00804198" w:rsidRDefault="002F6371" w:rsidP="00FA2D94">
      <w:pPr>
        <w:jc w:val="both"/>
        <w:rPr>
          <w:sz w:val="26"/>
          <w:szCs w:val="26"/>
        </w:rPr>
      </w:pPr>
    </w:p>
    <w:p w:rsidR="00FA2D94" w:rsidRPr="00804198" w:rsidRDefault="00FA2D94" w:rsidP="00FA2D94">
      <w:pPr>
        <w:jc w:val="both"/>
        <w:rPr>
          <w:sz w:val="26"/>
          <w:szCs w:val="26"/>
        </w:rPr>
      </w:pPr>
      <w:r w:rsidRPr="00804198">
        <w:rPr>
          <w:sz w:val="26"/>
          <w:szCs w:val="26"/>
        </w:rPr>
        <w:t xml:space="preserve">пгт. Междуреченский </w:t>
      </w:r>
    </w:p>
    <w:p w:rsidR="00FA2D94" w:rsidRPr="00804198" w:rsidRDefault="00FA2D94" w:rsidP="00FA2D94">
      <w:pPr>
        <w:jc w:val="both"/>
        <w:rPr>
          <w:sz w:val="26"/>
          <w:szCs w:val="26"/>
        </w:rPr>
      </w:pPr>
      <w:r w:rsidRPr="00804198">
        <w:rPr>
          <w:sz w:val="26"/>
          <w:szCs w:val="26"/>
        </w:rPr>
        <w:t>2</w:t>
      </w:r>
      <w:r w:rsidR="007D2ED4" w:rsidRPr="00804198">
        <w:rPr>
          <w:sz w:val="26"/>
          <w:szCs w:val="26"/>
        </w:rPr>
        <w:t>3</w:t>
      </w:r>
      <w:r w:rsidRPr="00804198">
        <w:rPr>
          <w:sz w:val="26"/>
          <w:szCs w:val="26"/>
        </w:rPr>
        <w:t xml:space="preserve"> </w:t>
      </w:r>
      <w:r w:rsidR="007D2ED4" w:rsidRPr="00804198">
        <w:rPr>
          <w:sz w:val="26"/>
          <w:szCs w:val="26"/>
        </w:rPr>
        <w:t>апреля</w:t>
      </w:r>
      <w:r w:rsidRPr="00804198">
        <w:rPr>
          <w:sz w:val="26"/>
          <w:szCs w:val="26"/>
        </w:rPr>
        <w:t xml:space="preserve"> 2024 года</w:t>
      </w:r>
    </w:p>
    <w:p w:rsidR="007D2ED4" w:rsidRPr="002F6371" w:rsidRDefault="00FA2D94" w:rsidP="00D363D8">
      <w:pPr>
        <w:jc w:val="both"/>
        <w:rPr>
          <w:bCs/>
          <w:sz w:val="28"/>
        </w:rPr>
      </w:pPr>
      <w:r w:rsidRPr="00804198">
        <w:rPr>
          <w:sz w:val="26"/>
          <w:szCs w:val="26"/>
        </w:rPr>
        <w:t>№ 11</w:t>
      </w:r>
      <w:r w:rsidR="000254C0" w:rsidRPr="00804198">
        <w:rPr>
          <w:sz w:val="26"/>
          <w:szCs w:val="26"/>
        </w:rPr>
        <w:t>3</w:t>
      </w:r>
      <w:r w:rsidR="00804198" w:rsidRPr="00804198">
        <w:rPr>
          <w:sz w:val="26"/>
          <w:szCs w:val="26"/>
        </w:rPr>
        <w:t>7</w:t>
      </w:r>
    </w:p>
    <w:sectPr w:rsidR="007D2ED4" w:rsidRPr="002F6371" w:rsidSect="00295D54">
      <w:headerReference w:type="default" r:id="rId9"/>
      <w:headerReference w:type="first" r:id="rId10"/>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DE9" w:rsidRDefault="00FC0DE9" w:rsidP="00512EDA">
      <w:r>
        <w:separator/>
      </w:r>
    </w:p>
  </w:endnote>
  <w:endnote w:type="continuationSeparator" w:id="0">
    <w:p w:rsidR="00FC0DE9" w:rsidRDefault="00FC0DE9"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DE9" w:rsidRDefault="00FC0DE9" w:rsidP="00512EDA">
      <w:r>
        <w:separator/>
      </w:r>
    </w:p>
  </w:footnote>
  <w:footnote w:type="continuationSeparator" w:id="0">
    <w:p w:rsidR="00FC0DE9" w:rsidRDefault="00FC0DE9"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AE063F">
      <w:rPr>
        <w:noProof/>
      </w:rPr>
      <w:t>3</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C8455D5"/>
    <w:multiLevelType w:val="hybridMultilevel"/>
    <w:tmpl w:val="DAC442BE"/>
    <w:lvl w:ilvl="0" w:tplc="92A8B3C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0963030"/>
    <w:multiLevelType w:val="hybridMultilevel"/>
    <w:tmpl w:val="27543B44"/>
    <w:lvl w:ilvl="0" w:tplc="D5DACCE0">
      <w:start w:val="1"/>
      <w:numFmt w:val="decimal"/>
      <w:suff w:val="space"/>
      <w:lvlText w:val="%1)"/>
      <w:lvlJc w:val="left"/>
      <w:pPr>
        <w:ind w:left="1033" w:hanging="4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7"/>
  </w:num>
  <w:num w:numId="4">
    <w:abstractNumId w:val="25"/>
  </w:num>
  <w:num w:numId="5">
    <w:abstractNumId w:val="37"/>
  </w:num>
  <w:num w:numId="6">
    <w:abstractNumId w:val="33"/>
  </w:num>
  <w:num w:numId="7">
    <w:abstractNumId w:val="5"/>
  </w:num>
  <w:num w:numId="8">
    <w:abstractNumId w:val="14"/>
  </w:num>
  <w:num w:numId="9">
    <w:abstractNumId w:val="28"/>
  </w:num>
  <w:num w:numId="10">
    <w:abstractNumId w:val="27"/>
  </w:num>
  <w:num w:numId="11">
    <w:abstractNumId w:val="29"/>
  </w:num>
  <w:num w:numId="12">
    <w:abstractNumId w:val="9"/>
  </w:num>
  <w:num w:numId="13">
    <w:abstractNumId w:val="18"/>
  </w:num>
  <w:num w:numId="14">
    <w:abstractNumId w:val="40"/>
  </w:num>
  <w:num w:numId="15">
    <w:abstractNumId w:val="41"/>
  </w:num>
  <w:num w:numId="16">
    <w:abstractNumId w:val="3"/>
  </w:num>
  <w:num w:numId="17">
    <w:abstractNumId w:val="43"/>
  </w:num>
  <w:num w:numId="18">
    <w:abstractNumId w:val="24"/>
  </w:num>
  <w:num w:numId="19">
    <w:abstractNumId w:val="31"/>
  </w:num>
  <w:num w:numId="20">
    <w:abstractNumId w:val="50"/>
  </w:num>
  <w:num w:numId="21">
    <w:abstractNumId w:val="30"/>
  </w:num>
  <w:num w:numId="22">
    <w:abstractNumId w:val="8"/>
  </w:num>
  <w:num w:numId="23">
    <w:abstractNumId w:val="23"/>
  </w:num>
  <w:num w:numId="24">
    <w:abstractNumId w:val="2"/>
  </w:num>
  <w:num w:numId="25">
    <w:abstractNumId w:val="46"/>
  </w:num>
  <w:num w:numId="26">
    <w:abstractNumId w:val="16"/>
  </w:num>
  <w:num w:numId="27">
    <w:abstractNumId w:val="44"/>
  </w:num>
  <w:num w:numId="28">
    <w:abstractNumId w:val="42"/>
  </w:num>
  <w:num w:numId="29">
    <w:abstractNumId w:val="21"/>
  </w:num>
  <w:num w:numId="30">
    <w:abstractNumId w:val="47"/>
  </w:num>
  <w:num w:numId="31">
    <w:abstractNumId w:val="38"/>
  </w:num>
  <w:num w:numId="32">
    <w:abstractNumId w:val="12"/>
  </w:num>
  <w:num w:numId="33">
    <w:abstractNumId w:val="48"/>
  </w:num>
  <w:num w:numId="34">
    <w:abstractNumId w:val="1"/>
  </w:num>
  <w:num w:numId="35">
    <w:abstractNumId w:val="7"/>
  </w:num>
  <w:num w:numId="36">
    <w:abstractNumId w:val="32"/>
  </w:num>
  <w:num w:numId="37">
    <w:abstractNumId w:val="49"/>
  </w:num>
  <w:num w:numId="38">
    <w:abstractNumId w:val="19"/>
  </w:num>
  <w:num w:numId="39">
    <w:abstractNumId w:val="6"/>
  </w:num>
  <w:num w:numId="40">
    <w:abstractNumId w:val="39"/>
  </w:num>
  <w:num w:numId="41">
    <w:abstractNumId w:val="36"/>
  </w:num>
  <w:num w:numId="42">
    <w:abstractNumId w:val="34"/>
  </w:num>
  <w:num w:numId="43">
    <w:abstractNumId w:val="35"/>
  </w:num>
  <w:num w:numId="44">
    <w:abstractNumId w:val="15"/>
  </w:num>
  <w:num w:numId="45">
    <w:abstractNumId w:val="13"/>
  </w:num>
  <w:num w:numId="46">
    <w:abstractNumId w:val="4"/>
  </w:num>
  <w:num w:numId="47">
    <w:abstractNumId w:val="11"/>
  </w:num>
  <w:num w:numId="48">
    <w:abstractNumId w:val="26"/>
  </w:num>
  <w:num w:numId="49">
    <w:abstractNumId w:val="20"/>
  </w:num>
  <w:num w:numId="50">
    <w:abstractNumId w:val="22"/>
  </w:num>
  <w:num w:numId="5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565"/>
    <w:rsid w:val="000177EA"/>
    <w:rsid w:val="00020E98"/>
    <w:rsid w:val="0002238D"/>
    <w:rsid w:val="000254C0"/>
    <w:rsid w:val="000313D4"/>
    <w:rsid w:val="000421F7"/>
    <w:rsid w:val="000475BB"/>
    <w:rsid w:val="00050FF2"/>
    <w:rsid w:val="000535B4"/>
    <w:rsid w:val="00056D7B"/>
    <w:rsid w:val="00060A22"/>
    <w:rsid w:val="0007272D"/>
    <w:rsid w:val="000728B5"/>
    <w:rsid w:val="0008038F"/>
    <w:rsid w:val="00082CCF"/>
    <w:rsid w:val="000839D4"/>
    <w:rsid w:val="000901FB"/>
    <w:rsid w:val="00091AD0"/>
    <w:rsid w:val="00094F14"/>
    <w:rsid w:val="0009657C"/>
    <w:rsid w:val="00097D7E"/>
    <w:rsid w:val="000A1103"/>
    <w:rsid w:val="000B3223"/>
    <w:rsid w:val="000B4186"/>
    <w:rsid w:val="000B6065"/>
    <w:rsid w:val="000C0750"/>
    <w:rsid w:val="000C2A73"/>
    <w:rsid w:val="000D5913"/>
    <w:rsid w:val="000D6372"/>
    <w:rsid w:val="00104B03"/>
    <w:rsid w:val="00113538"/>
    <w:rsid w:val="001146C8"/>
    <w:rsid w:val="00116B78"/>
    <w:rsid w:val="00121E2B"/>
    <w:rsid w:val="0012566A"/>
    <w:rsid w:val="001279E9"/>
    <w:rsid w:val="00132254"/>
    <w:rsid w:val="001355CE"/>
    <w:rsid w:val="00150422"/>
    <w:rsid w:val="00150493"/>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5381F"/>
    <w:rsid w:val="00260191"/>
    <w:rsid w:val="00264CB0"/>
    <w:rsid w:val="002666BD"/>
    <w:rsid w:val="002700A7"/>
    <w:rsid w:val="00276D5D"/>
    <w:rsid w:val="0027756A"/>
    <w:rsid w:val="00284935"/>
    <w:rsid w:val="002879F3"/>
    <w:rsid w:val="00287B6B"/>
    <w:rsid w:val="00290BB4"/>
    <w:rsid w:val="00295D5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2F6371"/>
    <w:rsid w:val="00300445"/>
    <w:rsid w:val="0030098C"/>
    <w:rsid w:val="00300C53"/>
    <w:rsid w:val="00304966"/>
    <w:rsid w:val="00307D3F"/>
    <w:rsid w:val="00311D5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4B5"/>
    <w:rsid w:val="00526A2E"/>
    <w:rsid w:val="00536403"/>
    <w:rsid w:val="005401BE"/>
    <w:rsid w:val="00545CED"/>
    <w:rsid w:val="00547CE4"/>
    <w:rsid w:val="00556E85"/>
    <w:rsid w:val="00562686"/>
    <w:rsid w:val="005632A3"/>
    <w:rsid w:val="005715AF"/>
    <w:rsid w:val="005816E0"/>
    <w:rsid w:val="00582259"/>
    <w:rsid w:val="00595FCD"/>
    <w:rsid w:val="005A2E0C"/>
    <w:rsid w:val="005A3BE8"/>
    <w:rsid w:val="005A5755"/>
    <w:rsid w:val="005A57F7"/>
    <w:rsid w:val="005B7FEC"/>
    <w:rsid w:val="005C3804"/>
    <w:rsid w:val="005C6AF4"/>
    <w:rsid w:val="005D0682"/>
    <w:rsid w:val="005D5321"/>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2847"/>
    <w:rsid w:val="0074750B"/>
    <w:rsid w:val="007503FD"/>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7F7DD0"/>
    <w:rsid w:val="008014A6"/>
    <w:rsid w:val="00804198"/>
    <w:rsid w:val="008050E5"/>
    <w:rsid w:val="00813595"/>
    <w:rsid w:val="00814E2E"/>
    <w:rsid w:val="00816F88"/>
    <w:rsid w:val="00822617"/>
    <w:rsid w:val="00822C7E"/>
    <w:rsid w:val="008267F5"/>
    <w:rsid w:val="00841EF6"/>
    <w:rsid w:val="00842B8A"/>
    <w:rsid w:val="00842F3A"/>
    <w:rsid w:val="008465AC"/>
    <w:rsid w:val="008573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063F"/>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6DA6"/>
    <w:rsid w:val="00C16E38"/>
    <w:rsid w:val="00C22E59"/>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96714"/>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0D7A"/>
    <w:rsid w:val="00EC161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0DE9"/>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uiPriority="99" w:qFormat="1"/>
    <w:lsdException w:name="Body Text Indent" w:uiPriority="99" w:qFormat="1"/>
    <w:lsdException w:name="Subtitle" w:qFormat="1"/>
    <w:lsdException w:name="Salutation" w:uiPriority="99"/>
    <w:lsdException w:name="Body Text 2" w:uiPriority="99" w:qFormat="1"/>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uiPriority w:val="99"/>
    <w:qFormat/>
    <w:rsid w:val="007F06AA"/>
    <w:pPr>
      <w:spacing w:after="120"/>
    </w:pPr>
  </w:style>
  <w:style w:type="character" w:customStyle="1" w:styleId="aff9">
    <w:name w:val="Основной текст Знак"/>
    <w:link w:val="aff8"/>
    <w:uiPriority w:val="99"/>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uiPriority w:val="99"/>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uiPriority w:val="99"/>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uiPriority w:val="99"/>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uiPriority w:val="99"/>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FA84-01CE-42D5-90AA-4ED490F6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2024-04-01T11:46:00Z</cp:lastPrinted>
  <dcterms:created xsi:type="dcterms:W3CDTF">2024-04-25T10:29:00Z</dcterms:created>
  <dcterms:modified xsi:type="dcterms:W3CDTF">2024-04-25T10:29:00Z</dcterms:modified>
</cp:coreProperties>
</file>